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F2768" w14:textId="728CBFF6" w:rsidR="001D3001" w:rsidRPr="008861A7" w:rsidRDefault="009072DA" w:rsidP="001D3001">
      <w:pPr>
        <w:spacing w:after="0"/>
        <w:jc w:val="center"/>
        <w:rPr>
          <w:rFonts w:eastAsia="Calibri"/>
          <w:b/>
          <w:noProof/>
        </w:rPr>
      </w:pPr>
      <w:r w:rsidRPr="008861A7">
        <w:rPr>
          <w:rFonts w:eastAsia="Calibri"/>
          <w:b/>
          <w:noProof/>
          <w:lang w:val="et"/>
        </w:rPr>
        <w:t xml:space="preserve">Avaldus investeerimisotsuste </w:t>
      </w:r>
      <w:r w:rsidR="00AB408B" w:rsidRPr="00D319FD">
        <w:rPr>
          <w:rFonts w:eastAsia="Calibri"/>
          <w:b/>
          <w:bCs/>
          <w:lang w:val="et-EE"/>
        </w:rPr>
        <w:t>põhilise negatiivse mõju kohta kestlikkusteguritele</w:t>
      </w:r>
    </w:p>
    <w:p w14:paraId="6F57BC09" w14:textId="77777777" w:rsidR="001D3001" w:rsidRPr="008861A7" w:rsidRDefault="001D3001" w:rsidP="001D3001">
      <w:pPr>
        <w:spacing w:after="0"/>
        <w:jc w:val="center"/>
        <w:rPr>
          <w:rFonts w:eastAsia="Calibri"/>
          <w:i/>
          <w:noProof/>
        </w:rPr>
      </w:pPr>
    </w:p>
    <w:tbl>
      <w:tblPr>
        <w:tblStyle w:val="TableGrid2"/>
        <w:tblW w:w="0" w:type="auto"/>
        <w:tblLook w:val="04A0" w:firstRow="1" w:lastRow="0" w:firstColumn="1" w:lastColumn="0" w:noHBand="0" w:noVBand="1"/>
      </w:tblPr>
      <w:tblGrid>
        <w:gridCol w:w="14268"/>
      </w:tblGrid>
      <w:tr w:rsidR="004F19C8" w14:paraId="0514B1E6" w14:textId="77777777" w:rsidTr="00477C34">
        <w:tc>
          <w:tcPr>
            <w:tcW w:w="14268" w:type="dxa"/>
            <w:tcBorders>
              <w:top w:val="single" w:sz="4" w:space="0" w:color="auto"/>
              <w:left w:val="single" w:sz="4" w:space="0" w:color="auto"/>
              <w:bottom w:val="single" w:sz="4" w:space="0" w:color="auto"/>
              <w:right w:val="single" w:sz="4" w:space="0" w:color="auto"/>
            </w:tcBorders>
          </w:tcPr>
          <w:p w14:paraId="13D59DD5" w14:textId="494F34D8" w:rsidR="001D3001" w:rsidRPr="008861A7" w:rsidRDefault="009072DA" w:rsidP="00477C34">
            <w:pPr>
              <w:spacing w:after="0"/>
              <w:rPr>
                <w:b/>
                <w:bCs/>
                <w:iCs/>
                <w:noProof/>
              </w:rPr>
            </w:pPr>
            <w:bookmarkStart w:id="0" w:name="_Hlk61346817"/>
            <w:r w:rsidRPr="008861A7">
              <w:rPr>
                <w:b/>
                <w:bCs/>
                <w:iCs/>
                <w:noProof/>
                <w:lang w:val="et"/>
              </w:rPr>
              <w:t xml:space="preserve">Finantsturu </w:t>
            </w:r>
            <w:r w:rsidR="000917B2" w:rsidRPr="00096D32">
              <w:rPr>
                <w:b/>
                <w:bCs/>
                <w:iCs/>
                <w:noProof/>
                <w:lang w:val="et"/>
              </w:rPr>
              <w:t>osaline:</w:t>
            </w:r>
            <w:r w:rsidR="000917B2">
              <w:rPr>
                <w:i/>
                <w:noProof/>
                <w:lang w:val="et"/>
              </w:rPr>
              <w:t xml:space="preserve"> Northern Horizon Capital A/S, LEI: 529900GDVTNNYQBDU208</w:t>
            </w:r>
          </w:p>
        </w:tc>
      </w:tr>
      <w:tr w:rsidR="004F19C8" w14:paraId="6F230B10" w14:textId="77777777" w:rsidTr="00477C34">
        <w:tc>
          <w:tcPr>
            <w:tcW w:w="14268" w:type="dxa"/>
            <w:tcBorders>
              <w:top w:val="single" w:sz="4" w:space="0" w:color="auto"/>
              <w:left w:val="single" w:sz="4" w:space="0" w:color="auto"/>
              <w:bottom w:val="single" w:sz="4" w:space="0" w:color="auto"/>
              <w:right w:val="single" w:sz="4" w:space="0" w:color="auto"/>
            </w:tcBorders>
          </w:tcPr>
          <w:p w14:paraId="05F97CE8" w14:textId="77777777" w:rsidR="001D3001" w:rsidRPr="008861A7" w:rsidRDefault="009072DA" w:rsidP="00477C34">
            <w:pPr>
              <w:spacing w:after="0"/>
              <w:rPr>
                <w:b/>
                <w:bCs/>
                <w:iCs/>
                <w:noProof/>
              </w:rPr>
            </w:pPr>
            <w:r w:rsidRPr="008861A7">
              <w:rPr>
                <w:b/>
                <w:bCs/>
                <w:iCs/>
                <w:noProof/>
                <w:lang w:val="et"/>
              </w:rPr>
              <w:t>Kokkuvõte</w:t>
            </w:r>
          </w:p>
          <w:p w14:paraId="5D6C3141" w14:textId="22613651" w:rsidR="003424E1" w:rsidRPr="00FC0276" w:rsidRDefault="009072DA" w:rsidP="00477C34">
            <w:pPr>
              <w:spacing w:after="0"/>
              <w:rPr>
                <w:iCs/>
                <w:noProof/>
              </w:rPr>
            </w:pPr>
            <w:r>
              <w:rPr>
                <w:iCs/>
                <w:noProof/>
                <w:lang w:val="et"/>
              </w:rPr>
              <w:t>Northern Horizon Capital AS (</w:t>
            </w:r>
            <w:r w:rsidR="00212A38">
              <w:rPr>
                <w:iCs/>
                <w:noProof/>
                <w:lang w:val="et"/>
              </w:rPr>
              <w:t xml:space="preserve">edaspidi </w:t>
            </w:r>
            <w:r w:rsidR="005A0004" w:rsidRPr="005A0004">
              <w:rPr>
                <w:b/>
                <w:bCs/>
                <w:iCs/>
                <w:noProof/>
                <w:lang w:val="et"/>
              </w:rPr>
              <w:t>AIFM</w:t>
            </w:r>
            <w:r>
              <w:rPr>
                <w:iCs/>
                <w:noProof/>
                <w:lang w:val="et"/>
              </w:rPr>
              <w:t xml:space="preserve">) arvestab oma </w:t>
            </w:r>
            <w:r>
              <w:rPr>
                <w:iCs/>
                <w:noProof/>
                <w:lang w:val="et"/>
              </w:rPr>
              <w:t xml:space="preserve">investeerimisotsuste </w:t>
            </w:r>
            <w:r w:rsidR="00836DF6" w:rsidRPr="00D319FD">
              <w:rPr>
                <w:lang w:val="et-EE"/>
              </w:rPr>
              <w:t>põhilist negatiivset mõju kestlikkusteguritele</w:t>
            </w:r>
            <w:r>
              <w:rPr>
                <w:iCs/>
                <w:noProof/>
                <w:lang w:val="et"/>
              </w:rPr>
              <w:t xml:space="preserve">. Käesolev </w:t>
            </w:r>
            <w:r w:rsidR="00247BE2">
              <w:rPr>
                <w:iCs/>
                <w:noProof/>
                <w:lang w:val="et"/>
              </w:rPr>
              <w:t>avaldus</w:t>
            </w:r>
            <w:r>
              <w:rPr>
                <w:iCs/>
                <w:noProof/>
                <w:lang w:val="et"/>
              </w:rPr>
              <w:t xml:space="preserve"> on konsolideeritud aruanne AIF</w:t>
            </w:r>
            <w:r w:rsidR="00247BE2">
              <w:rPr>
                <w:iCs/>
                <w:noProof/>
                <w:lang w:val="et"/>
              </w:rPr>
              <w:t>M</w:t>
            </w:r>
            <w:r>
              <w:rPr>
                <w:iCs/>
                <w:noProof/>
                <w:lang w:val="et"/>
              </w:rPr>
              <w:t xml:space="preserve">-i valitseja peamiste negatiivsete mõjude kohta jätkusuutlikkusteguritele. Käesolev </w:t>
            </w:r>
            <w:r w:rsidR="001A2302">
              <w:rPr>
                <w:iCs/>
                <w:noProof/>
                <w:lang w:val="et"/>
              </w:rPr>
              <w:t>avaldus</w:t>
            </w:r>
            <w:r>
              <w:rPr>
                <w:iCs/>
                <w:noProof/>
                <w:lang w:val="et"/>
              </w:rPr>
              <w:t xml:space="preserve"> </w:t>
            </w:r>
            <w:r w:rsidR="001A2302" w:rsidRPr="00D319FD">
              <w:rPr>
                <w:lang w:val="et-EE"/>
              </w:rPr>
              <w:t>kestlikkusteguritele</w:t>
            </w:r>
            <w:r w:rsidR="001A2302">
              <w:rPr>
                <w:iCs/>
                <w:noProof/>
                <w:lang w:val="et"/>
              </w:rPr>
              <w:t xml:space="preserve"> </w:t>
            </w:r>
            <w:r>
              <w:rPr>
                <w:iCs/>
                <w:noProof/>
                <w:lang w:val="et"/>
              </w:rPr>
              <w:t>avalduvate p</w:t>
            </w:r>
            <w:r w:rsidR="001A2302">
              <w:rPr>
                <w:iCs/>
                <w:noProof/>
                <w:lang w:val="et-EE"/>
              </w:rPr>
              <w:t>õhiliste</w:t>
            </w:r>
            <w:r>
              <w:rPr>
                <w:iCs/>
                <w:noProof/>
                <w:lang w:val="et"/>
              </w:rPr>
              <w:t xml:space="preserve"> negatiivsete mõjude kohta hõlmab vaatlusperioodi 1. jaanuarist 2024 kuni 31. detsembrini 2024.</w:t>
            </w:r>
          </w:p>
          <w:p w14:paraId="1FFCF215" w14:textId="1BAEEB8B" w:rsidR="003424E1" w:rsidRPr="00E8547C" w:rsidRDefault="009072DA" w:rsidP="003424E1">
            <w:pPr>
              <w:spacing w:after="0"/>
              <w:rPr>
                <w:b/>
                <w:bCs/>
                <w:iCs/>
                <w:noProof/>
              </w:rPr>
            </w:pPr>
            <w:r w:rsidRPr="00451E8D">
              <w:rPr>
                <w:iCs/>
                <w:noProof/>
                <w:lang w:val="et"/>
              </w:rPr>
              <w:t>AIFMi valitseja arvestab PAI näitajatena fossiilkütuste, energiatõhusate varade, kasvuhoonegaaside heitkoguste, energiatarbimise intensiivsuse ja jäätmekäitluse osakaalu. PAI näitajad on lisatud Northern Horizon Groupi vastutustundliku investeerimise poliitikasse (</w:t>
            </w:r>
            <w:r w:rsidR="00DF1E8D">
              <w:rPr>
                <w:iCs/>
                <w:noProof/>
                <w:lang w:val="et"/>
              </w:rPr>
              <w:t xml:space="preserve">edaspidi </w:t>
            </w:r>
            <w:r w:rsidR="009879CC" w:rsidRPr="009879CC">
              <w:rPr>
                <w:b/>
                <w:noProof/>
                <w:lang w:val="et"/>
              </w:rPr>
              <w:t>RI poliitika</w:t>
            </w:r>
            <w:r w:rsidRPr="00451E8D">
              <w:rPr>
                <w:iCs/>
                <w:noProof/>
                <w:lang w:val="et"/>
              </w:rPr>
              <w:t>), mis kehtib AIFM-i valitsejale. Uusima RI poliitika kiitis heaks Northern Horizon Groupi juhatus 12.11.2024 ja Northern Horizon Capital AS-i juhatus 12.11.2024 ning seda ajakohastatakse igal aastal. Meie riskikapitalipoliitika kohaselt arvestatakse jätkusuutlikkuse tegureid sihtotstarbeliste investeeringute hoolsuskohustuse protsessi osana ja investeerimisettepaneku osana esitatavas kokkuvõtlikus järelduses. Kõik PAI näitajad on lisatud ka investeerimispoliitikasse, mis sisaldab ka malli nende hindamiseks</w:t>
            </w:r>
            <w:r w:rsidRPr="00451E8D">
              <w:rPr>
                <w:iCs/>
                <w:noProof/>
                <w:lang w:val="et"/>
              </w:rPr>
              <w:t>. Investeerimispoliitika kiitis heaks AIFMi juhatus 12.11.2024 ja seda ajakohastatakse igal aastal.</w:t>
            </w:r>
          </w:p>
          <w:p w14:paraId="738593C8" w14:textId="774F9169" w:rsidR="003424E1" w:rsidRDefault="009072DA" w:rsidP="003424E1">
            <w:pPr>
              <w:spacing w:after="0"/>
              <w:rPr>
                <w:bCs/>
                <w:noProof/>
              </w:rPr>
            </w:pPr>
            <w:r w:rsidRPr="00973F6B">
              <w:rPr>
                <w:bCs/>
                <w:noProof/>
                <w:lang w:val="et"/>
              </w:rPr>
              <w:t>PAI näitajad on valitud olulisuse alusel. AIF</w:t>
            </w:r>
            <w:r w:rsidR="00D8151F">
              <w:rPr>
                <w:bCs/>
                <w:noProof/>
                <w:lang w:val="et"/>
              </w:rPr>
              <w:t>M</w:t>
            </w:r>
            <w:r w:rsidRPr="00973F6B">
              <w:rPr>
                <w:bCs/>
                <w:noProof/>
                <w:lang w:val="et"/>
              </w:rPr>
              <w:t>i valitseja ei arvesta „Uute ehitiste ja ulatuslike renoveerimistööde tooraine tarbimist”, kuna ta teostab selliseid toiminguid väikeses mahus. Samuti ei arvesta AIF</w:t>
            </w:r>
            <w:r w:rsidR="00D8151F">
              <w:rPr>
                <w:bCs/>
                <w:noProof/>
                <w:lang w:val="et"/>
              </w:rPr>
              <w:t>M</w:t>
            </w:r>
            <w:r w:rsidRPr="00973F6B">
              <w:rPr>
                <w:bCs/>
                <w:noProof/>
                <w:lang w:val="et"/>
              </w:rPr>
              <w:t>i valitseja oma olemasolevate varade „maa kunstlikuks muutmisega“, kuna kõik tema hooned asuvad juba projekteeritud linnapiirkondades.</w:t>
            </w:r>
          </w:p>
          <w:p w14:paraId="31290D0B" w14:textId="647493D3" w:rsidR="00DA33BC" w:rsidRDefault="009072DA" w:rsidP="003424E1">
            <w:pPr>
              <w:spacing w:after="0"/>
              <w:rPr>
                <w:bCs/>
                <w:noProof/>
              </w:rPr>
            </w:pPr>
            <w:r w:rsidRPr="001308D2">
              <w:rPr>
                <w:bCs/>
                <w:noProof/>
                <w:lang w:val="et"/>
              </w:rPr>
              <w:t xml:space="preserve">PAI vähendamiseks tehtavat kaasamistööd viivad läbi fondihaldur ja varahalduse juht, keda abistab jätkusuutlikkuse juht. Fondi varadel on ka välised kinnisvarahaldurid, kes tegelevad kinnisvaraobjektidel </w:t>
            </w:r>
            <w:r w:rsidR="007A2A55">
              <w:rPr>
                <w:bCs/>
                <w:noProof/>
                <w:lang w:val="et"/>
              </w:rPr>
              <w:t>rent</w:t>
            </w:r>
            <w:r w:rsidRPr="001308D2">
              <w:rPr>
                <w:bCs/>
                <w:noProof/>
                <w:lang w:val="et"/>
              </w:rPr>
              <w:t>nike kaasamisega.</w:t>
            </w:r>
          </w:p>
          <w:p w14:paraId="66835A29" w14:textId="59081F9B" w:rsidR="003424E1" w:rsidRDefault="009072DA" w:rsidP="003424E1">
            <w:pPr>
              <w:spacing w:after="0"/>
              <w:rPr>
                <w:bCs/>
                <w:noProof/>
                <w:lang w:val="en-US"/>
              </w:rPr>
            </w:pPr>
            <w:r>
              <w:rPr>
                <w:bCs/>
                <w:noProof/>
                <w:lang w:val="et"/>
              </w:rPr>
              <w:t>AIF</w:t>
            </w:r>
            <w:r w:rsidR="00BD142E">
              <w:rPr>
                <w:bCs/>
                <w:noProof/>
                <w:lang w:val="et"/>
              </w:rPr>
              <w:t>M</w:t>
            </w:r>
            <w:r>
              <w:rPr>
                <w:bCs/>
                <w:noProof/>
                <w:lang w:val="et"/>
              </w:rPr>
              <w:t>i valitseja plaanib koguda PAI näitajate andmeid otse hallatavatelt varadelt.</w:t>
            </w:r>
          </w:p>
          <w:p w14:paraId="18DCF155" w14:textId="05F3F9A8" w:rsidR="001D3001" w:rsidRPr="008861A7" w:rsidRDefault="001D3001" w:rsidP="00DA5FBC">
            <w:pPr>
              <w:spacing w:after="0"/>
              <w:rPr>
                <w:b/>
                <w:bCs/>
                <w:noProof/>
              </w:rPr>
            </w:pPr>
          </w:p>
        </w:tc>
      </w:tr>
      <w:bookmarkEnd w:id="0"/>
      <w:tr w:rsidR="004F19C8" w14:paraId="7865FD17" w14:textId="77777777" w:rsidTr="00477C34">
        <w:tc>
          <w:tcPr>
            <w:tcW w:w="14268" w:type="dxa"/>
            <w:tcBorders>
              <w:top w:val="single" w:sz="4" w:space="0" w:color="auto"/>
              <w:left w:val="single" w:sz="4" w:space="0" w:color="auto"/>
              <w:bottom w:val="single" w:sz="4" w:space="0" w:color="auto"/>
              <w:right w:val="single" w:sz="4" w:space="0" w:color="auto"/>
            </w:tcBorders>
          </w:tcPr>
          <w:p w14:paraId="35C72355" w14:textId="77777777" w:rsidR="00212A70" w:rsidRPr="00D319FD" w:rsidRDefault="00212A70" w:rsidP="00212A70">
            <w:pPr>
              <w:spacing w:after="0"/>
              <w:rPr>
                <w:b/>
                <w:bCs/>
                <w:lang w:val="et-EE"/>
              </w:rPr>
            </w:pPr>
            <w:r w:rsidRPr="00D319FD">
              <w:rPr>
                <w:b/>
                <w:bCs/>
                <w:lang w:val="et-EE"/>
              </w:rPr>
              <w:t>Kestlikkusteguritele avalduva põhilise negatiivse mõju kirjeldus</w:t>
            </w:r>
          </w:p>
          <w:p w14:paraId="630D4349" w14:textId="77777777" w:rsidR="0019226F" w:rsidRPr="0019226F" w:rsidRDefault="0019226F" w:rsidP="00477C34">
            <w:pPr>
              <w:spacing w:after="0"/>
              <w:rPr>
                <w:b/>
                <w:bCs/>
                <w:noProof/>
              </w:rPr>
            </w:pPr>
          </w:p>
          <w:tbl>
            <w:tblPr>
              <w:tblStyle w:val="TableGrid2"/>
              <w:tblW w:w="13490" w:type="dxa"/>
              <w:tblLook w:val="04A0" w:firstRow="1" w:lastRow="0" w:firstColumn="1" w:lastColumn="0" w:noHBand="0" w:noVBand="1"/>
            </w:tblPr>
            <w:tblGrid>
              <w:gridCol w:w="2136"/>
              <w:gridCol w:w="2136"/>
              <w:gridCol w:w="2682"/>
              <w:gridCol w:w="1790"/>
              <w:gridCol w:w="2510"/>
              <w:gridCol w:w="2676"/>
            </w:tblGrid>
            <w:tr w:rsidR="004F19C8" w14:paraId="44266988" w14:textId="77777777" w:rsidTr="00C34BC2">
              <w:tc>
                <w:tcPr>
                  <w:tcW w:w="4210" w:type="dxa"/>
                  <w:gridSpan w:val="2"/>
                  <w:tcBorders>
                    <w:top w:val="single" w:sz="4" w:space="0" w:color="auto"/>
                    <w:left w:val="single" w:sz="4" w:space="0" w:color="auto"/>
                    <w:bottom w:val="single" w:sz="4" w:space="0" w:color="auto"/>
                    <w:right w:val="single" w:sz="4" w:space="0" w:color="auto"/>
                  </w:tcBorders>
                </w:tcPr>
                <w:p w14:paraId="212DC1D5" w14:textId="77777777" w:rsidR="0006437C" w:rsidRPr="008861A7" w:rsidRDefault="009072DA" w:rsidP="00477C34">
                  <w:pPr>
                    <w:pStyle w:val="ListParagraph"/>
                    <w:spacing w:after="0"/>
                    <w:rPr>
                      <w:rFonts w:ascii="Times New Roman" w:hAnsi="Times New Roman"/>
                      <w:bCs/>
                      <w:noProof/>
                      <w:szCs w:val="22"/>
                    </w:rPr>
                  </w:pPr>
                  <w:bookmarkStart w:id="1" w:name="_Hlk58952339"/>
                  <w:r w:rsidRPr="008861A7">
                    <w:rPr>
                      <w:rFonts w:ascii="Times New Roman" w:hAnsi="Times New Roman"/>
                      <w:b/>
                      <w:noProof/>
                      <w:szCs w:val="22"/>
                      <w:lang w:val="et"/>
                    </w:rPr>
                    <w:t>Negatiivne jätkusuutlikkuse näitaja</w:t>
                  </w:r>
                </w:p>
              </w:tc>
              <w:tc>
                <w:tcPr>
                  <w:tcW w:w="2044" w:type="dxa"/>
                  <w:tcBorders>
                    <w:top w:val="single" w:sz="4" w:space="0" w:color="auto"/>
                    <w:left w:val="nil"/>
                    <w:bottom w:val="single" w:sz="4" w:space="0" w:color="auto"/>
                    <w:right w:val="single" w:sz="8" w:space="0" w:color="auto"/>
                  </w:tcBorders>
                  <w:shd w:val="clear" w:color="000000" w:fill="FFFFFF"/>
                </w:tcPr>
                <w:p w14:paraId="7371C751" w14:textId="41098A15" w:rsidR="0006437C" w:rsidRPr="008861A7" w:rsidRDefault="00777631" w:rsidP="00477C34">
                  <w:pPr>
                    <w:spacing w:after="0"/>
                    <w:rPr>
                      <w:noProof/>
                      <w:color w:val="000000"/>
                    </w:rPr>
                  </w:pPr>
                  <w:r w:rsidRPr="00D319FD">
                    <w:rPr>
                      <w:b/>
                      <w:bCs/>
                      <w:lang w:val="et-EE"/>
                    </w:rPr>
                    <w:t>Mõõtühik</w:t>
                  </w:r>
                </w:p>
              </w:tc>
              <w:tc>
                <w:tcPr>
                  <w:tcW w:w="1418" w:type="dxa"/>
                  <w:tcBorders>
                    <w:top w:val="single" w:sz="4" w:space="0" w:color="auto"/>
                    <w:left w:val="single" w:sz="4" w:space="0" w:color="auto"/>
                    <w:bottom w:val="single" w:sz="4" w:space="0" w:color="auto"/>
                    <w:right w:val="single" w:sz="4" w:space="0" w:color="auto"/>
                  </w:tcBorders>
                </w:tcPr>
                <w:p w14:paraId="6EF85E71" w14:textId="05C1CD6B" w:rsidR="0006437C" w:rsidRPr="008861A7" w:rsidRDefault="009072DA" w:rsidP="00477C34">
                  <w:pPr>
                    <w:spacing w:after="0"/>
                    <w:rPr>
                      <w:noProof/>
                    </w:rPr>
                  </w:pPr>
                  <w:r w:rsidRPr="008861A7">
                    <w:rPr>
                      <w:b/>
                      <w:noProof/>
                      <w:lang w:val="et"/>
                    </w:rPr>
                    <w:t>Mõju [</w:t>
                  </w:r>
                  <w:r w:rsidRPr="008861A7">
                    <w:rPr>
                      <w:b/>
                      <w:noProof/>
                      <w:lang w:val="et"/>
                    </w:rPr>
                    <w:t>2024]</w:t>
                  </w:r>
                </w:p>
              </w:tc>
              <w:tc>
                <w:tcPr>
                  <w:tcW w:w="2551" w:type="dxa"/>
                  <w:tcBorders>
                    <w:top w:val="single" w:sz="4" w:space="0" w:color="auto"/>
                    <w:left w:val="single" w:sz="4" w:space="0" w:color="auto"/>
                    <w:bottom w:val="single" w:sz="4" w:space="0" w:color="auto"/>
                    <w:right w:val="single" w:sz="4" w:space="0" w:color="auto"/>
                  </w:tcBorders>
                </w:tcPr>
                <w:p w14:paraId="0448CDDA" w14:textId="77777777" w:rsidR="0006437C" w:rsidRPr="008861A7" w:rsidRDefault="009072DA" w:rsidP="00477C34">
                  <w:pPr>
                    <w:spacing w:after="0"/>
                    <w:rPr>
                      <w:noProof/>
                    </w:rPr>
                  </w:pPr>
                  <w:r w:rsidRPr="008861A7">
                    <w:rPr>
                      <w:b/>
                      <w:noProof/>
                      <w:lang w:val="et"/>
                    </w:rPr>
                    <w:t>Selgitus</w:t>
                  </w:r>
                </w:p>
              </w:tc>
              <w:tc>
                <w:tcPr>
                  <w:tcW w:w="3267" w:type="dxa"/>
                  <w:tcBorders>
                    <w:top w:val="single" w:sz="4" w:space="0" w:color="auto"/>
                    <w:left w:val="single" w:sz="4" w:space="0" w:color="auto"/>
                    <w:bottom w:val="single" w:sz="4" w:space="0" w:color="auto"/>
                    <w:right w:val="single" w:sz="4" w:space="0" w:color="auto"/>
                  </w:tcBorders>
                </w:tcPr>
                <w:p w14:paraId="780DCAB5" w14:textId="6F255C04" w:rsidR="0006437C" w:rsidRPr="008861A7" w:rsidRDefault="00676765" w:rsidP="00477C34">
                  <w:pPr>
                    <w:spacing w:after="0"/>
                    <w:rPr>
                      <w:noProof/>
                    </w:rPr>
                  </w:pPr>
                  <w:r w:rsidRPr="00D319FD">
                    <w:rPr>
                      <w:b/>
                      <w:bCs/>
                      <w:lang w:val="et-EE"/>
                    </w:rPr>
                    <w:t xml:space="preserve">Võetud meetmed ning järgmiseks vaatlusperioodiks </w:t>
                  </w:r>
                  <w:r w:rsidRPr="00D319FD">
                    <w:rPr>
                      <w:b/>
                      <w:bCs/>
                      <w:lang w:val="et-EE"/>
                    </w:rPr>
                    <w:lastRenderedPageBreak/>
                    <w:t>kavandatud meetmed ja seatud eesmärgid</w:t>
                  </w:r>
                </w:p>
              </w:tc>
            </w:tr>
            <w:tr w:rsidR="004F19C8" w14:paraId="65D94256" w14:textId="77777777" w:rsidTr="00C34BC2">
              <w:tc>
                <w:tcPr>
                  <w:tcW w:w="1641" w:type="dxa"/>
                  <w:tcBorders>
                    <w:top w:val="single" w:sz="4" w:space="0" w:color="auto"/>
                    <w:left w:val="single" w:sz="4" w:space="0" w:color="auto"/>
                    <w:bottom w:val="single" w:sz="4" w:space="0" w:color="auto"/>
                    <w:right w:val="single" w:sz="4" w:space="0" w:color="auto"/>
                  </w:tcBorders>
                </w:tcPr>
                <w:p w14:paraId="10AB4FEA" w14:textId="77777777" w:rsidR="0006437C" w:rsidRPr="008861A7" w:rsidRDefault="009072DA" w:rsidP="00477C34">
                  <w:pPr>
                    <w:spacing w:after="0"/>
                    <w:rPr>
                      <w:noProof/>
                    </w:rPr>
                  </w:pPr>
                  <w:r w:rsidRPr="008861A7">
                    <w:rPr>
                      <w:noProof/>
                      <w:lang w:val="et"/>
                    </w:rPr>
                    <w:lastRenderedPageBreak/>
                    <w:t>Fossiilkütused</w:t>
                  </w:r>
                </w:p>
              </w:tc>
              <w:tc>
                <w:tcPr>
                  <w:tcW w:w="2569" w:type="dxa"/>
                  <w:tcBorders>
                    <w:top w:val="single" w:sz="4" w:space="0" w:color="auto"/>
                    <w:left w:val="single" w:sz="4" w:space="0" w:color="auto"/>
                    <w:bottom w:val="single" w:sz="4" w:space="0" w:color="auto"/>
                    <w:right w:val="single" w:sz="4" w:space="0" w:color="auto"/>
                  </w:tcBorders>
                  <w:shd w:val="clear" w:color="auto" w:fill="auto"/>
                  <w:vAlign w:val="center"/>
                </w:tcPr>
                <w:p w14:paraId="17257EC1" w14:textId="77777777" w:rsidR="0006437C" w:rsidRPr="00416CB7" w:rsidRDefault="009072DA" w:rsidP="00416CB7">
                  <w:pPr>
                    <w:spacing w:after="0"/>
                    <w:contextualSpacing/>
                    <w:rPr>
                      <w:bCs/>
                      <w:noProof/>
                    </w:rPr>
                  </w:pPr>
                  <w:r w:rsidRPr="00416CB7">
                    <w:rPr>
                      <w:bCs/>
                      <w:noProof/>
                      <w:lang w:val="et"/>
                    </w:rPr>
                    <w:t>Kokkupuude fossiilkütustega kinnisvara kaudu</w:t>
                  </w:r>
                </w:p>
              </w:tc>
              <w:tc>
                <w:tcPr>
                  <w:tcW w:w="2044" w:type="dxa"/>
                  <w:tcBorders>
                    <w:top w:val="single" w:sz="4" w:space="0" w:color="auto"/>
                    <w:left w:val="nil"/>
                    <w:bottom w:val="single" w:sz="4" w:space="0" w:color="auto"/>
                    <w:right w:val="single" w:sz="8" w:space="0" w:color="auto"/>
                  </w:tcBorders>
                  <w:shd w:val="clear" w:color="000000" w:fill="FFFFFF"/>
                  <w:vAlign w:val="center"/>
                </w:tcPr>
                <w:p w14:paraId="147C752D" w14:textId="77777777" w:rsidR="0006437C" w:rsidRPr="008861A7" w:rsidRDefault="009072DA" w:rsidP="001D3001">
                  <w:pPr>
                    <w:spacing w:after="0"/>
                    <w:rPr>
                      <w:noProof/>
                    </w:rPr>
                  </w:pPr>
                  <w:r w:rsidRPr="008861A7">
                    <w:rPr>
                      <w:noProof/>
                      <w:color w:val="000000"/>
                      <w:lang w:val="et"/>
                    </w:rPr>
                    <w:t xml:space="preserve">Fossiilkütuste kaevandamise, ladustamise, transpordi või tootmisega seotud </w:t>
                  </w:r>
                  <w:r w:rsidRPr="008861A7">
                    <w:rPr>
                      <w:noProof/>
                      <w:color w:val="000000"/>
                      <w:lang w:val="et"/>
                    </w:rPr>
                    <w:t>kinnisvarainvesteeringute osakaal</w:t>
                  </w:r>
                </w:p>
              </w:tc>
              <w:tc>
                <w:tcPr>
                  <w:tcW w:w="1418" w:type="dxa"/>
                  <w:tcBorders>
                    <w:top w:val="single" w:sz="4" w:space="0" w:color="auto"/>
                    <w:left w:val="single" w:sz="4" w:space="0" w:color="auto"/>
                    <w:bottom w:val="single" w:sz="4" w:space="0" w:color="auto"/>
                    <w:right w:val="single" w:sz="4" w:space="0" w:color="auto"/>
                  </w:tcBorders>
                </w:tcPr>
                <w:p w14:paraId="05A808A2" w14:textId="506DA21E" w:rsidR="0006437C" w:rsidRPr="008861A7" w:rsidRDefault="009072DA" w:rsidP="00477C34">
                  <w:pPr>
                    <w:spacing w:after="0"/>
                    <w:rPr>
                      <w:noProof/>
                    </w:rPr>
                  </w:pPr>
                  <w:r>
                    <w:rPr>
                      <w:noProof/>
                      <w:lang w:val="et"/>
                    </w:rPr>
                    <w:t>0</w:t>
                  </w:r>
                </w:p>
              </w:tc>
              <w:tc>
                <w:tcPr>
                  <w:tcW w:w="2551" w:type="dxa"/>
                  <w:tcBorders>
                    <w:top w:val="single" w:sz="4" w:space="0" w:color="auto"/>
                    <w:left w:val="single" w:sz="4" w:space="0" w:color="auto"/>
                    <w:bottom w:val="single" w:sz="4" w:space="0" w:color="auto"/>
                    <w:right w:val="single" w:sz="4" w:space="0" w:color="auto"/>
                  </w:tcBorders>
                </w:tcPr>
                <w:p w14:paraId="696F59B9" w14:textId="0E5E4D1C" w:rsidR="0006437C" w:rsidRPr="008861A7" w:rsidRDefault="009072DA" w:rsidP="00477C34">
                  <w:pPr>
                    <w:spacing w:after="0"/>
                    <w:rPr>
                      <w:noProof/>
                    </w:rPr>
                  </w:pPr>
                  <w:r w:rsidRPr="00B20D9C">
                    <w:rPr>
                      <w:noProof/>
                      <w:lang w:val="et"/>
                    </w:rPr>
                    <w:t xml:space="preserve">Seda näitajat tõlgendatakse nii, et see hõlmab kinnisvara, mida kasutatakse otseselt fossiilkütuste kaevandamiseks, ladustamiseks, transportimiseks või tootmiseks. </w:t>
                  </w:r>
                </w:p>
              </w:tc>
              <w:tc>
                <w:tcPr>
                  <w:tcW w:w="3267" w:type="dxa"/>
                  <w:tcBorders>
                    <w:top w:val="single" w:sz="4" w:space="0" w:color="auto"/>
                    <w:left w:val="single" w:sz="4" w:space="0" w:color="auto"/>
                    <w:bottom w:val="single" w:sz="4" w:space="0" w:color="auto"/>
                    <w:right w:val="single" w:sz="4" w:space="0" w:color="auto"/>
                  </w:tcBorders>
                </w:tcPr>
                <w:p w14:paraId="6FD1FCB9" w14:textId="65011A97" w:rsidR="0006437C" w:rsidRPr="008861A7" w:rsidRDefault="009072DA" w:rsidP="00477C34">
                  <w:pPr>
                    <w:spacing w:after="0"/>
                    <w:rPr>
                      <w:noProof/>
                    </w:rPr>
                  </w:pPr>
                  <w:r>
                    <w:rPr>
                      <w:noProof/>
                      <w:lang w:val="et"/>
                    </w:rPr>
                    <w:t>AIF</w:t>
                  </w:r>
                  <w:r w:rsidR="00B52D01">
                    <w:rPr>
                      <w:noProof/>
                      <w:lang w:val="et"/>
                    </w:rPr>
                    <w:t>M</w:t>
                  </w:r>
                  <w:r>
                    <w:rPr>
                      <w:noProof/>
                      <w:lang w:val="et"/>
                    </w:rPr>
                    <w:t xml:space="preserve"> jälgib oma kinnisvaravarade fossiilkütustega seotud riske. Siiski ei välista AIF</w:t>
                  </w:r>
                  <w:r w:rsidR="00B52D01">
                    <w:rPr>
                      <w:noProof/>
                      <w:lang w:val="et"/>
                    </w:rPr>
                    <w:t>M</w:t>
                  </w:r>
                  <w:r>
                    <w:rPr>
                      <w:noProof/>
                      <w:lang w:val="et"/>
                    </w:rPr>
                    <w:t xml:space="preserve"> praegu </w:t>
                  </w:r>
                  <w:r w:rsidR="007A2A55">
                    <w:rPr>
                      <w:noProof/>
                      <w:lang w:val="et"/>
                    </w:rPr>
                    <w:t>rent</w:t>
                  </w:r>
                  <w:r>
                    <w:rPr>
                      <w:noProof/>
                      <w:lang w:val="et"/>
                    </w:rPr>
                    <w:t>ni</w:t>
                  </w:r>
                  <w:r>
                    <w:rPr>
                      <w:noProof/>
                      <w:lang w:val="et"/>
                    </w:rPr>
                    <w:t xml:space="preserve">ke, kes tegutseksid fossiilkütuste sektorites. </w:t>
                  </w:r>
                </w:p>
              </w:tc>
            </w:tr>
            <w:tr w:rsidR="004F19C8" w14:paraId="63EAC209" w14:textId="77777777" w:rsidTr="00C34BC2">
              <w:trPr>
                <w:trHeight w:val="414"/>
              </w:trPr>
              <w:tc>
                <w:tcPr>
                  <w:tcW w:w="1641" w:type="dxa"/>
                  <w:tcBorders>
                    <w:top w:val="single" w:sz="4" w:space="0" w:color="auto"/>
                    <w:left w:val="single" w:sz="4" w:space="0" w:color="auto"/>
                    <w:bottom w:val="single" w:sz="4" w:space="0" w:color="auto"/>
                    <w:right w:val="single" w:sz="4" w:space="0" w:color="auto"/>
                  </w:tcBorders>
                </w:tcPr>
                <w:p w14:paraId="5AD2C444" w14:textId="77777777" w:rsidR="0006437C" w:rsidRPr="008861A7" w:rsidRDefault="009072DA" w:rsidP="00477C34">
                  <w:pPr>
                    <w:spacing w:after="0"/>
                    <w:rPr>
                      <w:noProof/>
                    </w:rPr>
                  </w:pPr>
                  <w:r w:rsidRPr="008861A7">
                    <w:rPr>
                      <w:noProof/>
                      <w:lang w:val="et"/>
                    </w:rPr>
                    <w:t>Energiatõhusus</w:t>
                  </w:r>
                </w:p>
              </w:tc>
              <w:tc>
                <w:tcPr>
                  <w:tcW w:w="2569" w:type="dxa"/>
                  <w:tcBorders>
                    <w:top w:val="single" w:sz="4" w:space="0" w:color="auto"/>
                    <w:left w:val="single" w:sz="4" w:space="0" w:color="auto"/>
                    <w:bottom w:val="single" w:sz="4" w:space="0" w:color="auto"/>
                    <w:right w:val="single" w:sz="4" w:space="0" w:color="auto"/>
                  </w:tcBorders>
                  <w:shd w:val="clear" w:color="auto" w:fill="auto"/>
                  <w:vAlign w:val="center"/>
                </w:tcPr>
                <w:p w14:paraId="62C05B8A" w14:textId="7CA8F43A" w:rsidR="0006437C" w:rsidRPr="00416CB7" w:rsidRDefault="009072DA" w:rsidP="00416CB7">
                  <w:pPr>
                    <w:spacing w:after="0"/>
                    <w:contextualSpacing/>
                    <w:rPr>
                      <w:noProof/>
                    </w:rPr>
                  </w:pPr>
                  <w:r w:rsidRPr="00416CB7">
                    <w:rPr>
                      <w:noProof/>
                      <w:lang w:val="et"/>
                    </w:rPr>
                    <w:t>Kokkupuude energiatõhusa</w:t>
                  </w:r>
                  <w:r w:rsidR="0038229D">
                    <w:rPr>
                      <w:noProof/>
                      <w:lang w:val="et"/>
                    </w:rPr>
                    <w:t>te</w:t>
                  </w:r>
                  <w:r w:rsidRPr="00416CB7">
                    <w:rPr>
                      <w:noProof/>
                      <w:lang w:val="et"/>
                    </w:rPr>
                    <w:t xml:space="preserve"> kinnisvar</w:t>
                  </w:r>
                  <w:r w:rsidR="00C70920">
                    <w:rPr>
                      <w:noProof/>
                      <w:lang w:val="et"/>
                    </w:rPr>
                    <w:t>a</w:t>
                  </w:r>
                  <w:r w:rsidR="0038229D">
                    <w:rPr>
                      <w:noProof/>
                      <w:lang w:val="et"/>
                    </w:rPr>
                    <w:t>dega</w:t>
                  </w:r>
                </w:p>
                <w:p w14:paraId="08849A1F" w14:textId="77777777" w:rsidR="0006437C" w:rsidRPr="008861A7" w:rsidRDefault="0006437C" w:rsidP="00477C34">
                  <w:pPr>
                    <w:pStyle w:val="ListParagraph"/>
                    <w:spacing w:after="0"/>
                    <w:contextualSpacing/>
                    <w:rPr>
                      <w:rFonts w:ascii="Times New Roman" w:hAnsi="Times New Roman"/>
                      <w:noProof/>
                      <w:szCs w:val="22"/>
                    </w:rPr>
                  </w:pPr>
                </w:p>
              </w:tc>
              <w:tc>
                <w:tcPr>
                  <w:tcW w:w="2044" w:type="dxa"/>
                  <w:tcBorders>
                    <w:top w:val="single" w:sz="4" w:space="0" w:color="auto"/>
                    <w:left w:val="nil"/>
                    <w:bottom w:val="single" w:sz="4" w:space="0" w:color="auto"/>
                    <w:right w:val="single" w:sz="8" w:space="0" w:color="auto"/>
                  </w:tcBorders>
                  <w:shd w:val="clear" w:color="000000" w:fill="FFFFFF"/>
                  <w:vAlign w:val="center"/>
                </w:tcPr>
                <w:p w14:paraId="62195AB2" w14:textId="77777777" w:rsidR="0006437C" w:rsidRPr="008861A7" w:rsidRDefault="009072DA" w:rsidP="00477C34">
                  <w:pPr>
                    <w:spacing w:after="0"/>
                    <w:rPr>
                      <w:noProof/>
                      <w:color w:val="000000"/>
                    </w:rPr>
                  </w:pPr>
                  <w:r w:rsidRPr="008861A7">
                    <w:rPr>
                      <w:noProof/>
                      <w:color w:val="000000"/>
                      <w:lang w:val="et"/>
                    </w:rPr>
                    <w:t>Energiatõhusatesse kinnisvaraobjektidesse tehtud investeeringute osakaal</w:t>
                  </w:r>
                </w:p>
                <w:p w14:paraId="01B94ACA" w14:textId="77777777" w:rsidR="0006437C" w:rsidRPr="008861A7" w:rsidRDefault="0006437C" w:rsidP="00477C34">
                  <w:pPr>
                    <w:spacing w:after="0"/>
                    <w:rPr>
                      <w:noProof/>
                      <w:color w:val="000000"/>
                    </w:rPr>
                  </w:pPr>
                </w:p>
              </w:tc>
              <w:tc>
                <w:tcPr>
                  <w:tcW w:w="1418" w:type="dxa"/>
                  <w:tcBorders>
                    <w:top w:val="single" w:sz="4" w:space="0" w:color="auto"/>
                    <w:left w:val="single" w:sz="4" w:space="0" w:color="auto"/>
                    <w:bottom w:val="single" w:sz="4" w:space="0" w:color="auto"/>
                    <w:right w:val="single" w:sz="4" w:space="0" w:color="auto"/>
                  </w:tcBorders>
                </w:tcPr>
                <w:p w14:paraId="3C76DEFB" w14:textId="5E866A2B" w:rsidR="0006437C" w:rsidRPr="008861A7" w:rsidRDefault="009072DA" w:rsidP="00477C34">
                  <w:pPr>
                    <w:spacing w:after="0"/>
                    <w:rPr>
                      <w:noProof/>
                    </w:rPr>
                  </w:pPr>
                  <w:r>
                    <w:rPr>
                      <w:noProof/>
                      <w:lang w:val="et"/>
                    </w:rPr>
                    <w:t>41 %</w:t>
                  </w:r>
                </w:p>
              </w:tc>
              <w:tc>
                <w:tcPr>
                  <w:tcW w:w="2551" w:type="dxa"/>
                  <w:tcBorders>
                    <w:top w:val="single" w:sz="4" w:space="0" w:color="auto"/>
                    <w:left w:val="single" w:sz="4" w:space="0" w:color="auto"/>
                    <w:bottom w:val="single" w:sz="4" w:space="0" w:color="auto"/>
                    <w:right w:val="single" w:sz="4" w:space="0" w:color="auto"/>
                  </w:tcBorders>
                </w:tcPr>
                <w:p w14:paraId="55FFA699" w14:textId="6DCB673B" w:rsidR="0006437C" w:rsidRPr="008861A7" w:rsidRDefault="009072DA" w:rsidP="00477C34">
                  <w:pPr>
                    <w:spacing w:after="0"/>
                    <w:rPr>
                      <w:noProof/>
                    </w:rPr>
                  </w:pPr>
                  <w:r w:rsidRPr="00C850C9">
                    <w:rPr>
                      <w:noProof/>
                      <w:lang w:val="et"/>
                    </w:rPr>
                    <w:t>Varasid peetakse energiatõhusateks, kui varade energiamärgise klass on alla B või kui vara on ehitatud pärast 31.12.2020 ja kui selle energiatõhusus on alla nullenergiahoone.</w:t>
                  </w:r>
                </w:p>
              </w:tc>
              <w:tc>
                <w:tcPr>
                  <w:tcW w:w="3267" w:type="dxa"/>
                  <w:tcBorders>
                    <w:top w:val="single" w:sz="4" w:space="0" w:color="auto"/>
                    <w:left w:val="single" w:sz="4" w:space="0" w:color="auto"/>
                    <w:bottom w:val="single" w:sz="4" w:space="0" w:color="auto"/>
                    <w:right w:val="single" w:sz="4" w:space="0" w:color="auto"/>
                  </w:tcBorders>
                </w:tcPr>
                <w:p w14:paraId="4BA71559" w14:textId="10C1E3A0" w:rsidR="0006437C" w:rsidRPr="008861A7" w:rsidRDefault="009072DA" w:rsidP="00477C34">
                  <w:pPr>
                    <w:spacing w:after="0"/>
                    <w:rPr>
                      <w:noProof/>
                    </w:rPr>
                  </w:pPr>
                  <w:r w:rsidRPr="0027088E">
                    <w:rPr>
                      <w:noProof/>
                      <w:lang w:val="et"/>
                    </w:rPr>
                    <w:t xml:space="preserve">Energiatõhusust käsitletakse iga sihtotstarbelise investeeringu </w:t>
                  </w:r>
                  <w:r w:rsidRPr="0027088E">
                    <w:rPr>
                      <w:noProof/>
                      <w:lang w:val="et"/>
                    </w:rPr>
                    <w:t xml:space="preserve">hoolsuskohustuse protsessi osana ning kokkuvõtlik järeldus esitatakse investeeringu või müügiettepaneku osana vastavalt riskide haldamise poliitikale ja investeerimispoliitikale. Investeerimisotsuste tegemisel on alternatiivse investeerimisfondi valitsejal eelistus energiatõhusate varade suhtes ning madalama energiaklassiga varade soetamise korral tehakse </w:t>
                  </w:r>
                  <w:r w:rsidRPr="0027088E">
                    <w:rPr>
                      <w:noProof/>
                      <w:lang w:val="et"/>
                    </w:rPr>
                    <w:lastRenderedPageBreak/>
                    <w:t>finantsanalüüs, et teha kindlaks energiatõhususe suurendamise võimalused. 2024. aastal AIF</w:t>
                  </w:r>
                  <w:r w:rsidR="00CC3841">
                    <w:rPr>
                      <w:noProof/>
                      <w:lang w:val="et"/>
                    </w:rPr>
                    <w:t>M</w:t>
                  </w:r>
                  <w:r w:rsidR="00087C45">
                    <w:rPr>
                      <w:noProof/>
                      <w:lang w:val="et"/>
                    </w:rPr>
                    <w:t xml:space="preserve"> </w:t>
                  </w:r>
                  <w:r w:rsidRPr="0027088E">
                    <w:rPr>
                      <w:noProof/>
                      <w:lang w:val="et"/>
                    </w:rPr>
                    <w:t>uusi investeeringuid ei teinud. AIF</w:t>
                  </w:r>
                  <w:r w:rsidR="00CC3841">
                    <w:rPr>
                      <w:noProof/>
                      <w:lang w:val="et"/>
                    </w:rPr>
                    <w:t>M</w:t>
                  </w:r>
                  <w:r w:rsidR="00087C45">
                    <w:rPr>
                      <w:noProof/>
                      <w:lang w:val="et"/>
                    </w:rPr>
                    <w:t xml:space="preserve"> </w:t>
                  </w:r>
                  <w:r w:rsidRPr="0027088E">
                    <w:rPr>
                      <w:noProof/>
                      <w:lang w:val="et"/>
                    </w:rPr>
                    <w:t>hakkas siiski kavandama meetmeid oma investeerimisportfelli energiatõhususe parandamiseks. Fond kaalub energiatõhususe meetmeid, võttes arvesse finantsmõjusid.</w:t>
                  </w:r>
                </w:p>
              </w:tc>
            </w:tr>
            <w:bookmarkEnd w:id="1"/>
            <w:tr w:rsidR="004F19C8" w14:paraId="741A5C11" w14:textId="77777777" w:rsidTr="00C34BC2">
              <w:trPr>
                <w:trHeight w:val="414"/>
              </w:trPr>
              <w:tc>
                <w:tcPr>
                  <w:tcW w:w="1641" w:type="dxa"/>
                  <w:vMerge w:val="restart"/>
                  <w:tcBorders>
                    <w:top w:val="single" w:sz="4" w:space="0" w:color="auto"/>
                    <w:left w:val="single" w:sz="4" w:space="0" w:color="auto"/>
                    <w:right w:val="single" w:sz="4" w:space="0" w:color="auto"/>
                  </w:tcBorders>
                </w:tcPr>
                <w:p w14:paraId="008E3BC5" w14:textId="7E8A5049" w:rsidR="0006437C" w:rsidRPr="008861A7" w:rsidRDefault="009072DA" w:rsidP="00416CB7">
                  <w:pPr>
                    <w:spacing w:after="0"/>
                    <w:rPr>
                      <w:noProof/>
                    </w:rPr>
                  </w:pPr>
                  <w:r w:rsidRPr="0059605D">
                    <w:rPr>
                      <w:bCs/>
                      <w:noProof/>
                      <w:szCs w:val="24"/>
                      <w:lang w:val="et"/>
                    </w:rPr>
                    <w:lastRenderedPageBreak/>
                    <w:t>Kasvuhoonegaaside heitkogused</w:t>
                  </w:r>
                </w:p>
              </w:tc>
              <w:tc>
                <w:tcPr>
                  <w:tcW w:w="2569" w:type="dxa"/>
                  <w:vMerge w:val="restart"/>
                  <w:tcBorders>
                    <w:top w:val="single" w:sz="4" w:space="0" w:color="auto"/>
                    <w:left w:val="single" w:sz="4" w:space="0" w:color="auto"/>
                    <w:right w:val="single" w:sz="4" w:space="0" w:color="auto"/>
                  </w:tcBorders>
                  <w:shd w:val="clear" w:color="auto" w:fill="auto"/>
                  <w:vAlign w:val="center"/>
                </w:tcPr>
                <w:p w14:paraId="6B979E4D" w14:textId="49DF2CAD" w:rsidR="0006437C" w:rsidRPr="00416CB7" w:rsidRDefault="009072DA" w:rsidP="00416CB7">
                  <w:pPr>
                    <w:spacing w:after="0"/>
                    <w:contextualSpacing/>
                    <w:rPr>
                      <w:noProof/>
                    </w:rPr>
                  </w:pPr>
                  <w:r w:rsidRPr="00416CB7">
                    <w:rPr>
                      <w:noProof/>
                      <w:szCs w:val="24"/>
                      <w:lang w:val="et"/>
                    </w:rPr>
                    <w:t>Kasvuhoonegaaside heitkogused</w:t>
                  </w:r>
                </w:p>
              </w:tc>
              <w:tc>
                <w:tcPr>
                  <w:tcW w:w="2044" w:type="dxa"/>
                  <w:tcBorders>
                    <w:top w:val="single" w:sz="4" w:space="0" w:color="auto"/>
                    <w:left w:val="nil"/>
                    <w:bottom w:val="single" w:sz="4" w:space="0" w:color="auto"/>
                    <w:right w:val="single" w:sz="8" w:space="0" w:color="auto"/>
                  </w:tcBorders>
                  <w:shd w:val="clear" w:color="000000" w:fill="FFFFFF"/>
                </w:tcPr>
                <w:p w14:paraId="32A0D07C" w14:textId="584040CE" w:rsidR="0006437C" w:rsidRPr="008861A7" w:rsidRDefault="009072DA" w:rsidP="00416CB7">
                  <w:pPr>
                    <w:spacing w:after="0"/>
                    <w:rPr>
                      <w:noProof/>
                      <w:color w:val="000000"/>
                    </w:rPr>
                  </w:pPr>
                  <w:r w:rsidRPr="000E4AE8">
                    <w:rPr>
                      <w:noProof/>
                      <w:szCs w:val="24"/>
                      <w:lang w:val="et"/>
                    </w:rPr>
                    <w:t>Kinnisvaravarade tekitatud 1. ulatuse kasvuhoonegaaside heitkogused</w:t>
                  </w:r>
                </w:p>
              </w:tc>
              <w:tc>
                <w:tcPr>
                  <w:tcW w:w="1418" w:type="dxa"/>
                  <w:tcBorders>
                    <w:top w:val="single" w:sz="4" w:space="0" w:color="auto"/>
                    <w:left w:val="single" w:sz="4" w:space="0" w:color="auto"/>
                    <w:bottom w:val="single" w:sz="4" w:space="0" w:color="auto"/>
                    <w:right w:val="single" w:sz="4" w:space="0" w:color="auto"/>
                  </w:tcBorders>
                </w:tcPr>
                <w:p w14:paraId="5E6AE243" w14:textId="3205C76B" w:rsidR="0006437C" w:rsidRPr="008861A7" w:rsidRDefault="009072DA" w:rsidP="00416CB7">
                  <w:pPr>
                    <w:spacing w:after="0"/>
                    <w:rPr>
                      <w:noProof/>
                    </w:rPr>
                  </w:pPr>
                  <w:r>
                    <w:rPr>
                      <w:noProof/>
                      <w:lang w:val="et"/>
                    </w:rPr>
                    <w:t>778 tCO2e</w:t>
                  </w:r>
                </w:p>
              </w:tc>
              <w:tc>
                <w:tcPr>
                  <w:tcW w:w="2551" w:type="dxa"/>
                  <w:vMerge w:val="restart"/>
                  <w:tcBorders>
                    <w:top w:val="single" w:sz="4" w:space="0" w:color="auto"/>
                    <w:left w:val="single" w:sz="4" w:space="0" w:color="auto"/>
                    <w:right w:val="single" w:sz="4" w:space="0" w:color="auto"/>
                  </w:tcBorders>
                </w:tcPr>
                <w:p w14:paraId="034F41E0" w14:textId="4DD1EB88" w:rsidR="0006437C" w:rsidRPr="008861A7" w:rsidRDefault="009072DA" w:rsidP="00416CB7">
                  <w:pPr>
                    <w:spacing w:after="0"/>
                    <w:rPr>
                      <w:noProof/>
                    </w:rPr>
                  </w:pPr>
                  <w:r w:rsidRPr="00F62B09">
                    <w:rPr>
                      <w:noProof/>
                      <w:lang w:val="et"/>
                    </w:rPr>
                    <w:t xml:space="preserve">Kasvuhoonegaaside heitkogused hõlmavad tegevusalaseid heitkoguseid, näiteks kaugkütte, gaasi ja kütuste kasvuhoonegaaside heitkoguseid ning elektrienergia tarbimist. Kasvuhoonegaaside heitkogused arvutati asukohapõhise metoodika abil, kasutades kolmanda </w:t>
                  </w:r>
                  <w:r w:rsidRPr="00F62B09">
                    <w:rPr>
                      <w:noProof/>
                      <w:lang w:val="et"/>
                    </w:rPr>
                    <w:lastRenderedPageBreak/>
                    <w:t xml:space="preserve">osapoole ESG andmeplatvormi pakkuja süsinikukalkulaatori tööriista, mis kasutab Rahvusvahelise Energiaagentuuri heitekoefitsiente. Andmete standardiseerimise raskuste tõttu põhinevad kaugkütte heitetegurid ESG andmeplatvormi pakutaval standardteguril.  Turupõhised heitkogused võtavad arvesse Fondi poolt ostetud taastuvenergiast toodetud elektrit ja kajastavad kasvuhoonegaaside heitkoguseid, mida välditi võrreldes tavapäraste energiaallikatega.  </w:t>
                  </w:r>
                </w:p>
              </w:tc>
              <w:tc>
                <w:tcPr>
                  <w:tcW w:w="3267" w:type="dxa"/>
                  <w:vMerge w:val="restart"/>
                  <w:tcBorders>
                    <w:top w:val="single" w:sz="4" w:space="0" w:color="auto"/>
                    <w:left w:val="single" w:sz="4" w:space="0" w:color="auto"/>
                    <w:right w:val="single" w:sz="4" w:space="0" w:color="auto"/>
                  </w:tcBorders>
                </w:tcPr>
                <w:p w14:paraId="5A03C72B" w14:textId="26C2F147" w:rsidR="00496DC1" w:rsidRDefault="009072DA" w:rsidP="00416CB7">
                  <w:pPr>
                    <w:spacing w:after="0"/>
                    <w:rPr>
                      <w:noProof/>
                    </w:rPr>
                  </w:pPr>
                  <w:r>
                    <w:rPr>
                      <w:noProof/>
                      <w:lang w:val="et"/>
                    </w:rPr>
                    <w:lastRenderedPageBreak/>
                    <w:t>AIF</w:t>
                  </w:r>
                  <w:r w:rsidR="00534678">
                    <w:rPr>
                      <w:noProof/>
                      <w:lang w:val="et"/>
                    </w:rPr>
                    <w:t>M</w:t>
                  </w:r>
                  <w:r>
                    <w:rPr>
                      <w:noProof/>
                      <w:lang w:val="et"/>
                    </w:rPr>
                    <w:t xml:space="preserve"> on oma hallatavasse fondi lisanud operatiivse neto nulliheite eesmärgi aastaks 2030. Eesmärgi saavutamiseks on AIFM</w:t>
                  </w:r>
                  <w:r>
                    <w:rPr>
                      <w:noProof/>
                      <w:lang w:val="et"/>
                    </w:rPr>
                    <w:t xml:space="preserve"> </w:t>
                  </w:r>
                  <w:r w:rsidR="00087C45">
                    <w:rPr>
                      <w:noProof/>
                      <w:lang w:val="et"/>
                    </w:rPr>
                    <w:t xml:space="preserve"> </w:t>
                  </w:r>
                  <w:r>
                    <w:rPr>
                      <w:noProof/>
                      <w:lang w:val="et"/>
                    </w:rPr>
                    <w:t xml:space="preserve">hallatav fond seadnud alaeesmärgiks jõuda fossiilkütustevaba elektri osakaaluni 2030. aastaks. </w:t>
                  </w:r>
                </w:p>
                <w:p w14:paraId="48F19A53" w14:textId="73E61522" w:rsidR="0006437C" w:rsidRDefault="009072DA" w:rsidP="00416CB7">
                  <w:pPr>
                    <w:spacing w:after="0"/>
                    <w:rPr>
                      <w:noProof/>
                    </w:rPr>
                  </w:pPr>
                  <w:r w:rsidRPr="00496DC1">
                    <w:rPr>
                      <w:noProof/>
                      <w:lang w:val="et"/>
                    </w:rPr>
                    <w:t xml:space="preserve">Vara kasvuhoonegaaside heitkoguseid võetakse arvesse mis tahes </w:t>
                  </w:r>
                  <w:r w:rsidRPr="00496DC1">
                    <w:rPr>
                      <w:noProof/>
                      <w:lang w:val="et"/>
                    </w:rPr>
                    <w:lastRenderedPageBreak/>
                    <w:t>sihtotstarbelise investeeringu hoolsuskohustuse protsessi osana ning kokkuvõtlik järeldus esitatakse investeeringu- või müügiettepaneku osana vastavalt riskide arvestamise poliitikale ja investeerimispoliitikale. AIF</w:t>
                  </w:r>
                  <w:r w:rsidR="00771ADB">
                    <w:rPr>
                      <w:noProof/>
                      <w:lang w:val="et"/>
                    </w:rPr>
                    <w:t>M</w:t>
                  </w:r>
                  <w:r w:rsidRPr="00496DC1">
                    <w:rPr>
                      <w:noProof/>
                      <w:lang w:val="et"/>
                    </w:rPr>
                    <w:t xml:space="preserve"> kasutab oma portfelli süsinikuriski analüüsimiseks ka CRREM-i tööriista.</w:t>
                  </w:r>
                </w:p>
                <w:p w14:paraId="3DAADBCF" w14:textId="77777777" w:rsidR="009E06A4" w:rsidRDefault="009E06A4" w:rsidP="00416CB7">
                  <w:pPr>
                    <w:spacing w:after="0"/>
                    <w:rPr>
                      <w:noProof/>
                    </w:rPr>
                  </w:pPr>
                </w:p>
                <w:p w14:paraId="129EE094" w14:textId="0282B37F" w:rsidR="009E06A4" w:rsidRPr="008861A7" w:rsidRDefault="009072DA" w:rsidP="00416CB7">
                  <w:pPr>
                    <w:spacing w:after="0"/>
                    <w:rPr>
                      <w:noProof/>
                    </w:rPr>
                  </w:pPr>
                  <w:r w:rsidRPr="009E06A4">
                    <w:rPr>
                      <w:noProof/>
                      <w:lang w:val="et"/>
                    </w:rPr>
                    <w:t xml:space="preserve">2024. aastal jätkas Fond taastuvenergia hankimist, et piirata oma kasvuhoonegaaside heitkoguseid. Samuti viis ettevõte läbi projekti, et uurida fossiilkütustevaba kütte soetamise võimalusi süsinikuneutraalsuse eesmärgi saavutamiseks, ning soetas oma Läti kinnisvarale taastuvenergial põhinevat kaugkütet. 2025. aastal jätkab Fond varade </w:t>
                  </w:r>
                  <w:r w:rsidRPr="009E06A4">
                    <w:rPr>
                      <w:noProof/>
                      <w:lang w:val="et"/>
                    </w:rPr>
                    <w:lastRenderedPageBreak/>
                    <w:t>tasemel planeerimist, et saavutada oma portfellis edasist kasvuhoonegaaside heitkoguste vähendamist.</w:t>
                  </w:r>
                </w:p>
              </w:tc>
            </w:tr>
            <w:tr w:rsidR="004F19C8" w14:paraId="1194348C" w14:textId="77777777" w:rsidTr="00C34BC2">
              <w:trPr>
                <w:trHeight w:val="414"/>
              </w:trPr>
              <w:tc>
                <w:tcPr>
                  <w:tcW w:w="1641" w:type="dxa"/>
                  <w:vMerge/>
                  <w:tcBorders>
                    <w:left w:val="single" w:sz="4" w:space="0" w:color="auto"/>
                    <w:right w:val="single" w:sz="4" w:space="0" w:color="auto"/>
                  </w:tcBorders>
                </w:tcPr>
                <w:p w14:paraId="68372645" w14:textId="77777777" w:rsidR="0006437C" w:rsidRPr="008861A7" w:rsidRDefault="0006437C" w:rsidP="00416CB7">
                  <w:pPr>
                    <w:spacing w:after="0"/>
                    <w:rPr>
                      <w:noProof/>
                    </w:rPr>
                  </w:pPr>
                </w:p>
              </w:tc>
              <w:tc>
                <w:tcPr>
                  <w:tcW w:w="2569" w:type="dxa"/>
                  <w:vMerge/>
                  <w:tcBorders>
                    <w:left w:val="single" w:sz="4" w:space="0" w:color="auto"/>
                    <w:right w:val="single" w:sz="4" w:space="0" w:color="auto"/>
                  </w:tcBorders>
                  <w:shd w:val="clear" w:color="auto" w:fill="auto"/>
                  <w:vAlign w:val="center"/>
                </w:tcPr>
                <w:p w14:paraId="26C40294" w14:textId="77777777" w:rsidR="0006437C" w:rsidRPr="008861A7" w:rsidRDefault="0006437C" w:rsidP="00416CB7">
                  <w:pPr>
                    <w:pStyle w:val="ListParagraph"/>
                    <w:numPr>
                      <w:ilvl w:val="0"/>
                      <w:numId w:val="4"/>
                    </w:numPr>
                    <w:spacing w:after="0"/>
                    <w:contextualSpacing/>
                    <w:rPr>
                      <w:rFonts w:ascii="Times New Roman" w:hAnsi="Times New Roman"/>
                      <w:noProof/>
                      <w:szCs w:val="22"/>
                    </w:rPr>
                  </w:pPr>
                </w:p>
              </w:tc>
              <w:tc>
                <w:tcPr>
                  <w:tcW w:w="2044" w:type="dxa"/>
                  <w:tcBorders>
                    <w:top w:val="single" w:sz="4" w:space="0" w:color="auto"/>
                    <w:left w:val="nil"/>
                    <w:bottom w:val="single" w:sz="4" w:space="0" w:color="auto"/>
                    <w:right w:val="single" w:sz="8" w:space="0" w:color="auto"/>
                  </w:tcBorders>
                  <w:shd w:val="clear" w:color="000000" w:fill="FFFFFF"/>
                </w:tcPr>
                <w:p w14:paraId="48A3B59E" w14:textId="34030EDB" w:rsidR="0006437C" w:rsidRPr="008861A7" w:rsidRDefault="009072DA" w:rsidP="00416CB7">
                  <w:pPr>
                    <w:spacing w:after="0"/>
                    <w:rPr>
                      <w:noProof/>
                      <w:color w:val="000000"/>
                    </w:rPr>
                  </w:pPr>
                  <w:r w:rsidRPr="000E4AE8">
                    <w:rPr>
                      <w:noProof/>
                      <w:szCs w:val="24"/>
                      <w:lang w:val="et"/>
                    </w:rPr>
                    <w:t>Kinnisvaravarade tekitatud 2. ulatuse kasvuhoonegaaside heitkogused</w:t>
                  </w:r>
                </w:p>
              </w:tc>
              <w:tc>
                <w:tcPr>
                  <w:tcW w:w="1418" w:type="dxa"/>
                  <w:tcBorders>
                    <w:top w:val="single" w:sz="4" w:space="0" w:color="auto"/>
                    <w:left w:val="single" w:sz="4" w:space="0" w:color="auto"/>
                    <w:bottom w:val="single" w:sz="4" w:space="0" w:color="auto"/>
                    <w:right w:val="single" w:sz="4" w:space="0" w:color="auto"/>
                  </w:tcBorders>
                </w:tcPr>
                <w:p w14:paraId="17DBFCE6" w14:textId="77777777" w:rsidR="006223C9" w:rsidRDefault="009072DA" w:rsidP="00416CB7">
                  <w:pPr>
                    <w:spacing w:after="0"/>
                    <w:rPr>
                      <w:noProof/>
                    </w:rPr>
                  </w:pPr>
                  <w:r w:rsidRPr="00C649AF">
                    <w:rPr>
                      <w:noProof/>
                      <w:lang w:val="et"/>
                    </w:rPr>
                    <w:t xml:space="preserve">Asukohapõhine: </w:t>
                  </w:r>
                </w:p>
                <w:p w14:paraId="3A0B6162" w14:textId="14C1E384" w:rsidR="006223C9" w:rsidRDefault="009072DA" w:rsidP="006223C9">
                  <w:pPr>
                    <w:spacing w:after="0"/>
                    <w:jc w:val="left"/>
                    <w:rPr>
                      <w:noProof/>
                    </w:rPr>
                  </w:pPr>
                  <w:r w:rsidRPr="00C649AF">
                    <w:rPr>
                      <w:noProof/>
                      <w:lang w:val="et"/>
                    </w:rPr>
                    <w:t xml:space="preserve"> 6 347 t</w:t>
                  </w:r>
                  <w:r w:rsidRPr="00C649AF">
                    <w:rPr>
                      <w:noProof/>
                      <w:lang w:val="et"/>
                    </w:rPr>
                    <w:t>CO2e</w:t>
                  </w:r>
                </w:p>
                <w:p w14:paraId="19830F50" w14:textId="77777777" w:rsidR="006223C9" w:rsidRDefault="009072DA" w:rsidP="00416CB7">
                  <w:pPr>
                    <w:spacing w:after="0"/>
                    <w:rPr>
                      <w:noProof/>
                    </w:rPr>
                  </w:pPr>
                  <w:r w:rsidRPr="00C649AF">
                    <w:rPr>
                      <w:noProof/>
                      <w:lang w:val="et"/>
                    </w:rPr>
                    <w:t>Turupõhine:</w:t>
                  </w:r>
                </w:p>
                <w:p w14:paraId="4B7B3DAC" w14:textId="7B3AD753" w:rsidR="0006437C" w:rsidRPr="008861A7" w:rsidRDefault="009072DA" w:rsidP="006223C9">
                  <w:pPr>
                    <w:spacing w:after="0"/>
                    <w:jc w:val="left"/>
                    <w:rPr>
                      <w:noProof/>
                    </w:rPr>
                  </w:pPr>
                  <w:r w:rsidRPr="00C649AF">
                    <w:rPr>
                      <w:noProof/>
                      <w:lang w:val="et"/>
                    </w:rPr>
                    <w:t xml:space="preserve"> 3258 t</w:t>
                  </w:r>
                  <w:r w:rsidRPr="00C649AF">
                    <w:rPr>
                      <w:noProof/>
                      <w:lang w:val="et"/>
                    </w:rPr>
                    <w:t>CO2e</w:t>
                  </w:r>
                </w:p>
              </w:tc>
              <w:tc>
                <w:tcPr>
                  <w:tcW w:w="2551" w:type="dxa"/>
                  <w:vMerge/>
                  <w:tcBorders>
                    <w:left w:val="single" w:sz="4" w:space="0" w:color="auto"/>
                    <w:right w:val="single" w:sz="4" w:space="0" w:color="auto"/>
                  </w:tcBorders>
                </w:tcPr>
                <w:p w14:paraId="77AFFB2F" w14:textId="77777777" w:rsidR="0006437C" w:rsidRPr="008861A7" w:rsidRDefault="0006437C" w:rsidP="00416CB7">
                  <w:pPr>
                    <w:spacing w:after="0"/>
                    <w:rPr>
                      <w:noProof/>
                    </w:rPr>
                  </w:pPr>
                </w:p>
              </w:tc>
              <w:tc>
                <w:tcPr>
                  <w:tcW w:w="3267" w:type="dxa"/>
                  <w:vMerge/>
                  <w:tcBorders>
                    <w:left w:val="single" w:sz="4" w:space="0" w:color="auto"/>
                    <w:right w:val="single" w:sz="4" w:space="0" w:color="auto"/>
                  </w:tcBorders>
                </w:tcPr>
                <w:p w14:paraId="35442034" w14:textId="77777777" w:rsidR="0006437C" w:rsidRPr="008861A7" w:rsidRDefault="0006437C" w:rsidP="00416CB7">
                  <w:pPr>
                    <w:spacing w:after="0"/>
                    <w:rPr>
                      <w:noProof/>
                    </w:rPr>
                  </w:pPr>
                </w:p>
              </w:tc>
            </w:tr>
            <w:tr w:rsidR="004F19C8" w14:paraId="5B2AD101" w14:textId="77777777" w:rsidTr="00C34BC2">
              <w:trPr>
                <w:trHeight w:val="414"/>
              </w:trPr>
              <w:tc>
                <w:tcPr>
                  <w:tcW w:w="1641" w:type="dxa"/>
                  <w:vMerge/>
                  <w:tcBorders>
                    <w:left w:val="single" w:sz="4" w:space="0" w:color="auto"/>
                    <w:right w:val="single" w:sz="4" w:space="0" w:color="auto"/>
                  </w:tcBorders>
                </w:tcPr>
                <w:p w14:paraId="508F3194" w14:textId="77777777" w:rsidR="0006437C" w:rsidRPr="008861A7" w:rsidRDefault="0006437C" w:rsidP="00416CB7">
                  <w:pPr>
                    <w:spacing w:after="0"/>
                    <w:rPr>
                      <w:noProof/>
                    </w:rPr>
                  </w:pPr>
                </w:p>
              </w:tc>
              <w:tc>
                <w:tcPr>
                  <w:tcW w:w="2569" w:type="dxa"/>
                  <w:vMerge/>
                  <w:tcBorders>
                    <w:left w:val="single" w:sz="4" w:space="0" w:color="auto"/>
                    <w:right w:val="single" w:sz="4" w:space="0" w:color="auto"/>
                  </w:tcBorders>
                  <w:shd w:val="clear" w:color="auto" w:fill="auto"/>
                  <w:vAlign w:val="center"/>
                </w:tcPr>
                <w:p w14:paraId="206DDF19" w14:textId="77777777" w:rsidR="0006437C" w:rsidRPr="008861A7" w:rsidRDefault="0006437C" w:rsidP="00416CB7">
                  <w:pPr>
                    <w:pStyle w:val="ListParagraph"/>
                    <w:numPr>
                      <w:ilvl w:val="0"/>
                      <w:numId w:val="4"/>
                    </w:numPr>
                    <w:spacing w:after="0"/>
                    <w:contextualSpacing/>
                    <w:rPr>
                      <w:rFonts w:ascii="Times New Roman" w:hAnsi="Times New Roman"/>
                      <w:noProof/>
                      <w:szCs w:val="22"/>
                    </w:rPr>
                  </w:pPr>
                </w:p>
              </w:tc>
              <w:tc>
                <w:tcPr>
                  <w:tcW w:w="2044" w:type="dxa"/>
                  <w:tcBorders>
                    <w:top w:val="single" w:sz="4" w:space="0" w:color="auto"/>
                    <w:left w:val="nil"/>
                    <w:bottom w:val="single" w:sz="4" w:space="0" w:color="auto"/>
                    <w:right w:val="single" w:sz="8" w:space="0" w:color="auto"/>
                  </w:tcBorders>
                  <w:shd w:val="clear" w:color="000000" w:fill="FFFFFF"/>
                </w:tcPr>
                <w:p w14:paraId="32147DE0" w14:textId="745DB03C" w:rsidR="0006437C" w:rsidRPr="008861A7" w:rsidRDefault="009072DA" w:rsidP="00416CB7">
                  <w:pPr>
                    <w:spacing w:after="0"/>
                    <w:rPr>
                      <w:noProof/>
                      <w:color w:val="000000"/>
                    </w:rPr>
                  </w:pPr>
                  <w:r w:rsidRPr="000E4AE8">
                    <w:rPr>
                      <w:noProof/>
                      <w:szCs w:val="24"/>
                      <w:lang w:val="et"/>
                    </w:rPr>
                    <w:t>Kinnisvaravarade tekitatud 3. ulatuse kasvuhoonegaaside heitkogused</w:t>
                  </w:r>
                </w:p>
              </w:tc>
              <w:tc>
                <w:tcPr>
                  <w:tcW w:w="1418" w:type="dxa"/>
                  <w:tcBorders>
                    <w:top w:val="single" w:sz="4" w:space="0" w:color="auto"/>
                    <w:left w:val="single" w:sz="4" w:space="0" w:color="auto"/>
                    <w:bottom w:val="single" w:sz="4" w:space="0" w:color="auto"/>
                    <w:right w:val="single" w:sz="4" w:space="0" w:color="auto"/>
                  </w:tcBorders>
                </w:tcPr>
                <w:p w14:paraId="572DD244" w14:textId="54D26FCB" w:rsidR="0006437C" w:rsidRPr="008861A7" w:rsidRDefault="009072DA" w:rsidP="00416CB7">
                  <w:pPr>
                    <w:spacing w:after="0"/>
                    <w:rPr>
                      <w:noProof/>
                    </w:rPr>
                  </w:pPr>
                  <w:r>
                    <w:rPr>
                      <w:noProof/>
                      <w:lang w:val="et"/>
                    </w:rPr>
                    <w:t>0</w:t>
                  </w:r>
                </w:p>
              </w:tc>
              <w:tc>
                <w:tcPr>
                  <w:tcW w:w="2551" w:type="dxa"/>
                  <w:vMerge/>
                  <w:tcBorders>
                    <w:left w:val="single" w:sz="4" w:space="0" w:color="auto"/>
                    <w:right w:val="single" w:sz="4" w:space="0" w:color="auto"/>
                  </w:tcBorders>
                </w:tcPr>
                <w:p w14:paraId="535F05E6" w14:textId="77777777" w:rsidR="0006437C" w:rsidRPr="008861A7" w:rsidRDefault="0006437C" w:rsidP="00416CB7">
                  <w:pPr>
                    <w:spacing w:after="0"/>
                    <w:rPr>
                      <w:noProof/>
                    </w:rPr>
                  </w:pPr>
                </w:p>
              </w:tc>
              <w:tc>
                <w:tcPr>
                  <w:tcW w:w="3267" w:type="dxa"/>
                  <w:vMerge/>
                  <w:tcBorders>
                    <w:left w:val="single" w:sz="4" w:space="0" w:color="auto"/>
                    <w:right w:val="single" w:sz="4" w:space="0" w:color="auto"/>
                  </w:tcBorders>
                </w:tcPr>
                <w:p w14:paraId="7F723366" w14:textId="77777777" w:rsidR="0006437C" w:rsidRPr="008861A7" w:rsidRDefault="0006437C" w:rsidP="00416CB7">
                  <w:pPr>
                    <w:spacing w:after="0"/>
                    <w:rPr>
                      <w:noProof/>
                    </w:rPr>
                  </w:pPr>
                </w:p>
              </w:tc>
            </w:tr>
            <w:tr w:rsidR="004F19C8" w14:paraId="5E64F615" w14:textId="77777777" w:rsidTr="00C34BC2">
              <w:trPr>
                <w:trHeight w:val="414"/>
              </w:trPr>
              <w:tc>
                <w:tcPr>
                  <w:tcW w:w="1641" w:type="dxa"/>
                  <w:vMerge/>
                  <w:tcBorders>
                    <w:left w:val="single" w:sz="4" w:space="0" w:color="auto"/>
                    <w:bottom w:val="single" w:sz="4" w:space="0" w:color="auto"/>
                    <w:right w:val="single" w:sz="4" w:space="0" w:color="auto"/>
                  </w:tcBorders>
                </w:tcPr>
                <w:p w14:paraId="498F912D" w14:textId="77777777" w:rsidR="0006437C" w:rsidRPr="008861A7" w:rsidRDefault="0006437C" w:rsidP="00416CB7">
                  <w:pPr>
                    <w:spacing w:after="0"/>
                    <w:rPr>
                      <w:noProof/>
                    </w:rPr>
                  </w:pPr>
                </w:p>
              </w:tc>
              <w:tc>
                <w:tcPr>
                  <w:tcW w:w="2569" w:type="dxa"/>
                  <w:vMerge/>
                  <w:tcBorders>
                    <w:left w:val="single" w:sz="4" w:space="0" w:color="auto"/>
                    <w:bottom w:val="single" w:sz="4" w:space="0" w:color="auto"/>
                    <w:right w:val="single" w:sz="4" w:space="0" w:color="auto"/>
                  </w:tcBorders>
                  <w:shd w:val="clear" w:color="auto" w:fill="auto"/>
                  <w:vAlign w:val="center"/>
                </w:tcPr>
                <w:p w14:paraId="23C13B86" w14:textId="77777777" w:rsidR="0006437C" w:rsidRPr="008861A7" w:rsidRDefault="0006437C" w:rsidP="00416CB7">
                  <w:pPr>
                    <w:pStyle w:val="ListParagraph"/>
                    <w:numPr>
                      <w:ilvl w:val="0"/>
                      <w:numId w:val="4"/>
                    </w:numPr>
                    <w:spacing w:after="0"/>
                    <w:contextualSpacing/>
                    <w:rPr>
                      <w:rFonts w:ascii="Times New Roman" w:hAnsi="Times New Roman"/>
                      <w:noProof/>
                      <w:szCs w:val="22"/>
                    </w:rPr>
                  </w:pPr>
                </w:p>
              </w:tc>
              <w:tc>
                <w:tcPr>
                  <w:tcW w:w="2044" w:type="dxa"/>
                  <w:tcBorders>
                    <w:top w:val="single" w:sz="4" w:space="0" w:color="auto"/>
                    <w:left w:val="nil"/>
                    <w:bottom w:val="single" w:sz="4" w:space="0" w:color="auto"/>
                    <w:right w:val="single" w:sz="8" w:space="0" w:color="auto"/>
                  </w:tcBorders>
                  <w:shd w:val="clear" w:color="000000" w:fill="FFFFFF"/>
                </w:tcPr>
                <w:p w14:paraId="471544CB" w14:textId="493EF558" w:rsidR="0006437C" w:rsidRPr="008861A7" w:rsidRDefault="009072DA" w:rsidP="00416CB7">
                  <w:pPr>
                    <w:spacing w:after="0"/>
                    <w:rPr>
                      <w:noProof/>
                      <w:color w:val="000000"/>
                    </w:rPr>
                  </w:pPr>
                  <w:r w:rsidRPr="000E4AE8">
                    <w:rPr>
                      <w:noProof/>
                      <w:szCs w:val="24"/>
                      <w:lang w:val="et"/>
                    </w:rPr>
                    <w:t xml:space="preserve">Kinnisvaradest tulenevate </w:t>
                  </w:r>
                  <w:r w:rsidRPr="000E4AE8">
                    <w:rPr>
                      <w:noProof/>
                      <w:szCs w:val="24"/>
                      <w:lang w:val="et"/>
                    </w:rPr>
                    <w:t>kasvuhoonegaaside koguheide</w:t>
                  </w:r>
                </w:p>
              </w:tc>
              <w:tc>
                <w:tcPr>
                  <w:tcW w:w="1418" w:type="dxa"/>
                  <w:tcBorders>
                    <w:top w:val="single" w:sz="4" w:space="0" w:color="auto"/>
                    <w:left w:val="single" w:sz="4" w:space="0" w:color="auto"/>
                    <w:bottom w:val="single" w:sz="4" w:space="0" w:color="auto"/>
                    <w:right w:val="single" w:sz="4" w:space="0" w:color="auto"/>
                  </w:tcBorders>
                </w:tcPr>
                <w:p w14:paraId="6F088091" w14:textId="1B637EFE" w:rsidR="0006437C" w:rsidRDefault="009072DA" w:rsidP="00416CB7">
                  <w:pPr>
                    <w:spacing w:after="0"/>
                    <w:rPr>
                      <w:noProof/>
                    </w:rPr>
                  </w:pPr>
                  <w:r>
                    <w:rPr>
                      <w:noProof/>
                      <w:lang w:val="et"/>
                    </w:rPr>
                    <w:t>Asukohapõhine: 7125 t</w:t>
                  </w:r>
                  <w:r>
                    <w:rPr>
                      <w:noProof/>
                      <w:lang w:val="et"/>
                    </w:rPr>
                    <w:t>CO2e</w:t>
                  </w:r>
                </w:p>
                <w:p w14:paraId="392531C5" w14:textId="77777777" w:rsidR="00D33ABF" w:rsidRDefault="00D33ABF" w:rsidP="00416CB7">
                  <w:pPr>
                    <w:spacing w:after="0"/>
                    <w:rPr>
                      <w:noProof/>
                    </w:rPr>
                  </w:pPr>
                </w:p>
                <w:p w14:paraId="247A34C9" w14:textId="36716E5B" w:rsidR="00D33ABF" w:rsidRDefault="009072DA" w:rsidP="00416CB7">
                  <w:pPr>
                    <w:spacing w:after="0"/>
                    <w:rPr>
                      <w:noProof/>
                    </w:rPr>
                  </w:pPr>
                  <w:r>
                    <w:rPr>
                      <w:noProof/>
                      <w:lang w:val="et"/>
                    </w:rPr>
                    <w:t>Turupõhine:</w:t>
                  </w:r>
                </w:p>
                <w:p w14:paraId="6EDB117C" w14:textId="530BA938" w:rsidR="00D33ABF" w:rsidRDefault="009072DA" w:rsidP="00416CB7">
                  <w:pPr>
                    <w:spacing w:after="0"/>
                    <w:rPr>
                      <w:noProof/>
                    </w:rPr>
                  </w:pPr>
                  <w:r w:rsidRPr="00A66719">
                    <w:rPr>
                      <w:noProof/>
                      <w:lang w:val="et"/>
                    </w:rPr>
                    <w:t xml:space="preserve">4036 </w:t>
                  </w:r>
                  <w:r w:rsidR="00F75A59">
                    <w:rPr>
                      <w:noProof/>
                      <w:lang w:val="et"/>
                    </w:rPr>
                    <w:t>t</w:t>
                  </w:r>
                  <w:r w:rsidRPr="00A66719">
                    <w:rPr>
                      <w:noProof/>
                      <w:lang w:val="et"/>
                    </w:rPr>
                    <w:t>CO2e</w:t>
                  </w:r>
                </w:p>
                <w:p w14:paraId="15FCF3AB" w14:textId="3574EF85" w:rsidR="00D73CF2" w:rsidRPr="008861A7" w:rsidRDefault="00D73CF2" w:rsidP="00416CB7">
                  <w:pPr>
                    <w:spacing w:after="0"/>
                    <w:rPr>
                      <w:noProof/>
                    </w:rPr>
                  </w:pPr>
                </w:p>
              </w:tc>
              <w:tc>
                <w:tcPr>
                  <w:tcW w:w="2551" w:type="dxa"/>
                  <w:vMerge/>
                  <w:tcBorders>
                    <w:left w:val="single" w:sz="4" w:space="0" w:color="auto"/>
                    <w:bottom w:val="single" w:sz="4" w:space="0" w:color="auto"/>
                    <w:right w:val="single" w:sz="4" w:space="0" w:color="auto"/>
                  </w:tcBorders>
                </w:tcPr>
                <w:p w14:paraId="7AE79448" w14:textId="77777777" w:rsidR="0006437C" w:rsidRPr="008861A7" w:rsidRDefault="0006437C" w:rsidP="00416CB7">
                  <w:pPr>
                    <w:spacing w:after="0"/>
                    <w:rPr>
                      <w:noProof/>
                    </w:rPr>
                  </w:pPr>
                </w:p>
              </w:tc>
              <w:tc>
                <w:tcPr>
                  <w:tcW w:w="3267" w:type="dxa"/>
                  <w:vMerge/>
                  <w:tcBorders>
                    <w:left w:val="single" w:sz="4" w:space="0" w:color="auto"/>
                    <w:bottom w:val="single" w:sz="4" w:space="0" w:color="auto"/>
                    <w:right w:val="single" w:sz="4" w:space="0" w:color="auto"/>
                  </w:tcBorders>
                </w:tcPr>
                <w:p w14:paraId="21308B83" w14:textId="77777777" w:rsidR="0006437C" w:rsidRPr="008861A7" w:rsidRDefault="0006437C" w:rsidP="00416CB7">
                  <w:pPr>
                    <w:spacing w:after="0"/>
                    <w:rPr>
                      <w:noProof/>
                    </w:rPr>
                  </w:pPr>
                </w:p>
              </w:tc>
            </w:tr>
            <w:tr w:rsidR="004F19C8" w14:paraId="50BCD8AD" w14:textId="77777777" w:rsidTr="00C34BC2">
              <w:trPr>
                <w:trHeight w:val="414"/>
              </w:trPr>
              <w:tc>
                <w:tcPr>
                  <w:tcW w:w="1641" w:type="dxa"/>
                  <w:tcBorders>
                    <w:top w:val="single" w:sz="4" w:space="0" w:color="auto"/>
                    <w:left w:val="single" w:sz="4" w:space="0" w:color="auto"/>
                    <w:bottom w:val="single" w:sz="4" w:space="0" w:color="auto"/>
                    <w:right w:val="single" w:sz="4" w:space="0" w:color="auto"/>
                  </w:tcBorders>
                </w:tcPr>
                <w:p w14:paraId="58C0C67B" w14:textId="3011EE6A" w:rsidR="0006437C" w:rsidRPr="008861A7" w:rsidRDefault="009072DA" w:rsidP="00416CB7">
                  <w:pPr>
                    <w:spacing w:after="0"/>
                    <w:rPr>
                      <w:noProof/>
                    </w:rPr>
                  </w:pPr>
                  <w:r w:rsidRPr="000E4AE8">
                    <w:rPr>
                      <w:noProof/>
                      <w:szCs w:val="24"/>
                      <w:lang w:val="et"/>
                    </w:rPr>
                    <w:lastRenderedPageBreak/>
                    <w:t>Energiatarbimine</w:t>
                  </w:r>
                </w:p>
              </w:tc>
              <w:tc>
                <w:tcPr>
                  <w:tcW w:w="2569" w:type="dxa"/>
                  <w:tcBorders>
                    <w:top w:val="single" w:sz="4" w:space="0" w:color="auto"/>
                    <w:left w:val="single" w:sz="4" w:space="0" w:color="auto"/>
                    <w:bottom w:val="single" w:sz="4" w:space="0" w:color="auto"/>
                    <w:right w:val="single" w:sz="4" w:space="0" w:color="auto"/>
                  </w:tcBorders>
                  <w:shd w:val="clear" w:color="auto" w:fill="auto"/>
                  <w:vAlign w:val="center"/>
                </w:tcPr>
                <w:p w14:paraId="768B44C2" w14:textId="44AA2945" w:rsidR="0006437C" w:rsidRPr="00416CB7" w:rsidRDefault="009072DA" w:rsidP="00090836">
                  <w:pPr>
                    <w:spacing w:after="0"/>
                    <w:contextualSpacing/>
                    <w:jc w:val="left"/>
                    <w:rPr>
                      <w:noProof/>
                    </w:rPr>
                  </w:pPr>
                  <w:r w:rsidRPr="00416CB7">
                    <w:rPr>
                      <w:noProof/>
                      <w:szCs w:val="24"/>
                      <w:lang w:val="et"/>
                    </w:rPr>
                    <w:t>Energiatarbimise intensiivsus</w:t>
                  </w:r>
                </w:p>
              </w:tc>
              <w:tc>
                <w:tcPr>
                  <w:tcW w:w="2044" w:type="dxa"/>
                  <w:tcBorders>
                    <w:top w:val="single" w:sz="4" w:space="0" w:color="auto"/>
                    <w:left w:val="nil"/>
                    <w:bottom w:val="single" w:sz="4" w:space="0" w:color="auto"/>
                    <w:right w:val="single" w:sz="8" w:space="0" w:color="auto"/>
                  </w:tcBorders>
                  <w:shd w:val="clear" w:color="000000" w:fill="FFFFFF"/>
                </w:tcPr>
                <w:p w14:paraId="57D9ABC7" w14:textId="38F602CD" w:rsidR="0006437C" w:rsidRPr="000E4AE8" w:rsidRDefault="000320FD" w:rsidP="00416CB7">
                  <w:pPr>
                    <w:spacing w:after="0"/>
                    <w:rPr>
                      <w:noProof/>
                      <w:szCs w:val="24"/>
                    </w:rPr>
                  </w:pPr>
                  <w:r w:rsidRPr="00D319FD">
                    <w:rPr>
                      <w:szCs w:val="24"/>
                      <w:lang w:val="et-EE"/>
                    </w:rPr>
                    <w:t>Omatava kinnisvara energiatarbimine gigavatt-tundides (GWh) ruutmeetri kohta</w:t>
                  </w:r>
                </w:p>
              </w:tc>
              <w:tc>
                <w:tcPr>
                  <w:tcW w:w="1418" w:type="dxa"/>
                  <w:tcBorders>
                    <w:top w:val="single" w:sz="4" w:space="0" w:color="auto"/>
                    <w:left w:val="single" w:sz="4" w:space="0" w:color="auto"/>
                    <w:bottom w:val="single" w:sz="4" w:space="0" w:color="auto"/>
                    <w:right w:val="single" w:sz="4" w:space="0" w:color="auto"/>
                  </w:tcBorders>
                </w:tcPr>
                <w:p w14:paraId="05DD500E" w14:textId="77777777" w:rsidR="006D0A30" w:rsidRDefault="009072DA" w:rsidP="00416CB7">
                  <w:pPr>
                    <w:spacing w:after="0"/>
                    <w:rPr>
                      <w:noProof/>
                    </w:rPr>
                  </w:pPr>
                  <w:r w:rsidRPr="006D0A30">
                    <w:rPr>
                      <w:noProof/>
                      <w:lang w:val="et"/>
                    </w:rPr>
                    <w:t xml:space="preserve">182 kWh/m²/aastas </w:t>
                  </w:r>
                </w:p>
                <w:p w14:paraId="549FE14F" w14:textId="1C9E7438" w:rsidR="0006437C" w:rsidRPr="008861A7" w:rsidRDefault="009072DA" w:rsidP="00416CB7">
                  <w:pPr>
                    <w:spacing w:after="0"/>
                    <w:rPr>
                      <w:noProof/>
                    </w:rPr>
                  </w:pPr>
                  <w:r w:rsidRPr="006D0A30">
                    <w:rPr>
                      <w:noProof/>
                      <w:lang w:val="et"/>
                    </w:rPr>
                    <w:t>0,000182 GWh/m²/aastas</w:t>
                  </w:r>
                </w:p>
              </w:tc>
              <w:tc>
                <w:tcPr>
                  <w:tcW w:w="2551" w:type="dxa"/>
                  <w:tcBorders>
                    <w:top w:val="single" w:sz="4" w:space="0" w:color="auto"/>
                    <w:left w:val="single" w:sz="4" w:space="0" w:color="auto"/>
                    <w:bottom w:val="single" w:sz="4" w:space="0" w:color="auto"/>
                    <w:right w:val="single" w:sz="4" w:space="0" w:color="auto"/>
                  </w:tcBorders>
                </w:tcPr>
                <w:p w14:paraId="7A0B9434" w14:textId="7B0443FB" w:rsidR="0006437C" w:rsidRPr="008861A7" w:rsidRDefault="009072DA" w:rsidP="00416CB7">
                  <w:pPr>
                    <w:spacing w:after="0"/>
                    <w:rPr>
                      <w:noProof/>
                    </w:rPr>
                  </w:pPr>
                  <w:r w:rsidRPr="00EC7A63">
                    <w:rPr>
                      <w:noProof/>
                      <w:lang w:val="et"/>
                    </w:rPr>
                    <w:t>Energiatarbimine ruutmeetri kohta võtab arvesse elektrienergia tarbimist ja kütmiseks/jahutamiseks kuluvat energiat.</w:t>
                  </w:r>
                </w:p>
              </w:tc>
              <w:tc>
                <w:tcPr>
                  <w:tcW w:w="3267" w:type="dxa"/>
                  <w:tcBorders>
                    <w:top w:val="single" w:sz="4" w:space="0" w:color="auto"/>
                    <w:left w:val="single" w:sz="4" w:space="0" w:color="auto"/>
                    <w:bottom w:val="single" w:sz="4" w:space="0" w:color="auto"/>
                    <w:right w:val="single" w:sz="4" w:space="0" w:color="auto"/>
                  </w:tcBorders>
                </w:tcPr>
                <w:p w14:paraId="3C14F516" w14:textId="04D6129E" w:rsidR="0006437C" w:rsidRDefault="009072DA" w:rsidP="00416CB7">
                  <w:pPr>
                    <w:spacing w:after="0"/>
                    <w:rPr>
                      <w:noProof/>
                    </w:rPr>
                  </w:pPr>
                  <w:r>
                    <w:rPr>
                      <w:noProof/>
                      <w:lang w:val="et"/>
                    </w:rPr>
                    <w:t>AIF</w:t>
                  </w:r>
                  <w:r w:rsidR="00771ADB">
                    <w:rPr>
                      <w:noProof/>
                      <w:lang w:val="et"/>
                    </w:rPr>
                    <w:t>M</w:t>
                  </w:r>
                  <w:r>
                    <w:rPr>
                      <w:noProof/>
                      <w:lang w:val="et"/>
                    </w:rPr>
                    <w:t xml:space="preserve"> jälgib oma kinnisvara energiatarbimise intensiivsust ja võrdleb oma tulemuslikkust CRREM 1.5 radadega.</w:t>
                  </w:r>
                </w:p>
                <w:p w14:paraId="29417F49" w14:textId="5E475D26" w:rsidR="00D42D45" w:rsidRPr="008861A7" w:rsidRDefault="009072DA" w:rsidP="00416CB7">
                  <w:pPr>
                    <w:spacing w:after="0"/>
                    <w:rPr>
                      <w:noProof/>
                    </w:rPr>
                  </w:pPr>
                  <w:r w:rsidRPr="00D42D45">
                    <w:rPr>
                      <w:noProof/>
                      <w:lang w:val="et"/>
                    </w:rPr>
                    <w:t>Energiamahukust käsitletakse sihtotstarbelise investeeringu hoolsuskohustuse protsessi osana ning kokkuvõtlik järeldus esitatakse investeeringu või müügiettepaneku osana vastavalt riskide haldamise poliitikale ja investeerimispoliitikale. 2024. aastal jälgis AIFM</w:t>
                  </w:r>
                  <w:r w:rsidR="00087C45">
                    <w:rPr>
                      <w:noProof/>
                      <w:lang w:val="et"/>
                    </w:rPr>
                    <w:t xml:space="preserve"> </w:t>
                  </w:r>
                  <w:r w:rsidRPr="00D42D45">
                    <w:rPr>
                      <w:noProof/>
                      <w:lang w:val="et"/>
                    </w:rPr>
                    <w:t>oma vara energiamahukust, kasutades kinnisvara süsinikuriski moodulit (CRREM). 2024. aastal AIF</w:t>
                  </w:r>
                  <w:r w:rsidR="00087C45">
                    <w:rPr>
                      <w:noProof/>
                      <w:lang w:val="et"/>
                    </w:rPr>
                    <w:t>M</w:t>
                  </w:r>
                  <w:r w:rsidRPr="00D42D45">
                    <w:rPr>
                      <w:noProof/>
                      <w:lang w:val="et"/>
                    </w:rPr>
                    <w:t xml:space="preserve"> uusi investeeringuid ei teinud. </w:t>
                  </w:r>
                  <w:r w:rsidRPr="00D42D45">
                    <w:rPr>
                      <w:noProof/>
                      <w:lang w:val="et"/>
                    </w:rPr>
                    <w:lastRenderedPageBreak/>
                    <w:t>AIFM</w:t>
                  </w:r>
                  <w:r w:rsidR="00087C45">
                    <w:rPr>
                      <w:noProof/>
                      <w:lang w:val="et"/>
                    </w:rPr>
                    <w:t xml:space="preserve"> </w:t>
                  </w:r>
                  <w:r w:rsidRPr="00D42D45">
                    <w:rPr>
                      <w:noProof/>
                      <w:lang w:val="et"/>
                    </w:rPr>
                    <w:t>hakkas siiski kavandama meetmeid oma investeerimisportfelli energiatõhususe parandamiseks. AIFM</w:t>
                  </w:r>
                  <w:r w:rsidRPr="00D42D45">
                    <w:rPr>
                      <w:noProof/>
                      <w:lang w:val="et"/>
                    </w:rPr>
                    <w:t xml:space="preserve"> on energiamahukusele lähenenud ka </w:t>
                  </w:r>
                  <w:r w:rsidR="009F196E">
                    <w:rPr>
                      <w:noProof/>
                      <w:lang w:val="et"/>
                    </w:rPr>
                    <w:t>rent</w:t>
                  </w:r>
                  <w:r w:rsidRPr="00D42D45">
                    <w:rPr>
                      <w:noProof/>
                      <w:lang w:val="et"/>
                    </w:rPr>
                    <w:t>nike kaasamise tegevuste kaudu, kehtestades rohelised rendilepingud ja teavitades oma varasid energiasäästumeetmetest. Selle omaduste tehnilised täiustused vastavalt rahalisele teostatavusele.</w:t>
                  </w:r>
                </w:p>
              </w:tc>
            </w:tr>
            <w:tr w:rsidR="004F19C8" w14:paraId="504608C3" w14:textId="77777777" w:rsidTr="00C34BC2">
              <w:trPr>
                <w:trHeight w:val="414"/>
              </w:trPr>
              <w:tc>
                <w:tcPr>
                  <w:tcW w:w="1641" w:type="dxa"/>
                  <w:tcBorders>
                    <w:top w:val="single" w:sz="4" w:space="0" w:color="auto"/>
                    <w:left w:val="single" w:sz="4" w:space="0" w:color="auto"/>
                    <w:bottom w:val="single" w:sz="4" w:space="0" w:color="auto"/>
                    <w:right w:val="single" w:sz="4" w:space="0" w:color="auto"/>
                  </w:tcBorders>
                </w:tcPr>
                <w:p w14:paraId="4A61EDBB" w14:textId="2A1FBA99" w:rsidR="0006437C" w:rsidRPr="008861A7" w:rsidRDefault="009072DA" w:rsidP="00416CB7">
                  <w:pPr>
                    <w:spacing w:after="0"/>
                    <w:rPr>
                      <w:noProof/>
                    </w:rPr>
                  </w:pPr>
                  <w:r>
                    <w:rPr>
                      <w:noProof/>
                      <w:lang w:val="et"/>
                    </w:rPr>
                    <w:lastRenderedPageBreak/>
                    <w:t>Jäätmed</w:t>
                  </w:r>
                </w:p>
              </w:tc>
              <w:tc>
                <w:tcPr>
                  <w:tcW w:w="2569" w:type="dxa"/>
                  <w:tcBorders>
                    <w:top w:val="single" w:sz="4" w:space="0" w:color="auto"/>
                    <w:left w:val="single" w:sz="4" w:space="0" w:color="auto"/>
                    <w:bottom w:val="single" w:sz="4" w:space="0" w:color="auto"/>
                    <w:right w:val="single" w:sz="4" w:space="0" w:color="auto"/>
                  </w:tcBorders>
                  <w:shd w:val="clear" w:color="auto" w:fill="auto"/>
                  <w:vAlign w:val="center"/>
                </w:tcPr>
                <w:p w14:paraId="29EA06C9" w14:textId="1139082B" w:rsidR="0006437C" w:rsidRPr="00416CB7" w:rsidRDefault="009072DA" w:rsidP="00416CB7">
                  <w:pPr>
                    <w:spacing w:after="0"/>
                    <w:contextualSpacing/>
                    <w:rPr>
                      <w:noProof/>
                    </w:rPr>
                  </w:pPr>
                  <w:r w:rsidRPr="000E4AE8">
                    <w:rPr>
                      <w:noProof/>
                      <w:szCs w:val="24"/>
                      <w:lang w:val="et"/>
                    </w:rPr>
                    <w:t>Jäätmete teke tegevuses</w:t>
                  </w:r>
                </w:p>
              </w:tc>
              <w:tc>
                <w:tcPr>
                  <w:tcW w:w="2044" w:type="dxa"/>
                  <w:tcBorders>
                    <w:top w:val="single" w:sz="4" w:space="0" w:color="auto"/>
                    <w:left w:val="nil"/>
                    <w:bottom w:val="single" w:sz="4" w:space="0" w:color="auto"/>
                    <w:right w:val="single" w:sz="8" w:space="0" w:color="auto"/>
                  </w:tcBorders>
                  <w:shd w:val="clear" w:color="000000" w:fill="FFFFFF"/>
                </w:tcPr>
                <w:p w14:paraId="12131D6C" w14:textId="56EED14F" w:rsidR="0006437C" w:rsidRPr="000E4AE8" w:rsidRDefault="009072DA" w:rsidP="00416CB7">
                  <w:pPr>
                    <w:spacing w:after="0"/>
                    <w:rPr>
                      <w:noProof/>
                      <w:szCs w:val="24"/>
                    </w:rPr>
                  </w:pPr>
                  <w:r w:rsidRPr="000E4AE8">
                    <w:rPr>
                      <w:noProof/>
                      <w:szCs w:val="24"/>
                      <w:lang w:val="et"/>
                    </w:rPr>
                    <w:t>Jäätmete sorteerimise seadmeteta ja jäätmete taaskasutamise või ringlussevõtu lepinguga hõlmamata kinnisvara osakaal</w:t>
                  </w:r>
                </w:p>
              </w:tc>
              <w:tc>
                <w:tcPr>
                  <w:tcW w:w="1418" w:type="dxa"/>
                  <w:tcBorders>
                    <w:top w:val="single" w:sz="4" w:space="0" w:color="auto"/>
                    <w:left w:val="single" w:sz="4" w:space="0" w:color="auto"/>
                    <w:bottom w:val="single" w:sz="4" w:space="0" w:color="auto"/>
                    <w:right w:val="single" w:sz="4" w:space="0" w:color="auto"/>
                  </w:tcBorders>
                </w:tcPr>
                <w:p w14:paraId="025C67E5" w14:textId="58BD389F" w:rsidR="0006437C" w:rsidRPr="008861A7" w:rsidRDefault="009072DA" w:rsidP="00416CB7">
                  <w:pPr>
                    <w:spacing w:after="0"/>
                    <w:rPr>
                      <w:noProof/>
                    </w:rPr>
                  </w:pPr>
                  <w:r>
                    <w:rPr>
                      <w:noProof/>
                      <w:lang w:val="et"/>
                    </w:rPr>
                    <w:t>0 %</w:t>
                  </w:r>
                </w:p>
              </w:tc>
              <w:tc>
                <w:tcPr>
                  <w:tcW w:w="2551" w:type="dxa"/>
                  <w:tcBorders>
                    <w:top w:val="single" w:sz="4" w:space="0" w:color="auto"/>
                    <w:left w:val="single" w:sz="4" w:space="0" w:color="auto"/>
                    <w:bottom w:val="single" w:sz="4" w:space="0" w:color="auto"/>
                    <w:right w:val="single" w:sz="4" w:space="0" w:color="auto"/>
                  </w:tcBorders>
                </w:tcPr>
                <w:p w14:paraId="5EAD6459" w14:textId="72437116" w:rsidR="0006437C" w:rsidRPr="008861A7" w:rsidRDefault="009072DA" w:rsidP="00416CB7">
                  <w:pPr>
                    <w:spacing w:after="0"/>
                    <w:rPr>
                      <w:noProof/>
                    </w:rPr>
                  </w:pPr>
                  <w:r>
                    <w:rPr>
                      <w:noProof/>
                      <w:lang w:val="et"/>
                    </w:rPr>
                    <w:t>Varade jäätmesorteerimise ja ringlussevõtu lepinguid analüüsitakse.</w:t>
                  </w:r>
                </w:p>
              </w:tc>
              <w:tc>
                <w:tcPr>
                  <w:tcW w:w="3267" w:type="dxa"/>
                  <w:tcBorders>
                    <w:top w:val="single" w:sz="4" w:space="0" w:color="auto"/>
                    <w:left w:val="single" w:sz="4" w:space="0" w:color="auto"/>
                    <w:bottom w:val="single" w:sz="4" w:space="0" w:color="auto"/>
                    <w:right w:val="single" w:sz="4" w:space="0" w:color="auto"/>
                  </w:tcBorders>
                </w:tcPr>
                <w:p w14:paraId="3CEFA2D1" w14:textId="118C10C7" w:rsidR="0006437C" w:rsidRPr="008861A7" w:rsidRDefault="009072DA" w:rsidP="00416CB7">
                  <w:pPr>
                    <w:spacing w:after="0"/>
                    <w:rPr>
                      <w:noProof/>
                    </w:rPr>
                  </w:pPr>
                  <w:r>
                    <w:rPr>
                      <w:noProof/>
                      <w:lang w:val="et"/>
                    </w:rPr>
                    <w:t>AIF</w:t>
                  </w:r>
                  <w:r w:rsidR="00087C45">
                    <w:rPr>
                      <w:noProof/>
                      <w:lang w:val="et"/>
                    </w:rPr>
                    <w:t>M</w:t>
                  </w:r>
                  <w:r>
                    <w:rPr>
                      <w:noProof/>
                      <w:lang w:val="et"/>
                    </w:rPr>
                    <w:t xml:space="preserve"> tagab, et kõik tema kinnisvaraobjektid on hõlmatud vajalike jäätmekäitlusrajatiste ja jäätmekäitluslepingutega. Kriteeriumidega seoses edasisi tegevusi ega eesmärke ei kavandatud.</w:t>
                  </w:r>
                </w:p>
              </w:tc>
            </w:tr>
          </w:tbl>
          <w:p w14:paraId="62A1E89F" w14:textId="77777777" w:rsidR="001D3001" w:rsidRPr="008861A7" w:rsidRDefault="001D3001" w:rsidP="00477C34">
            <w:pPr>
              <w:spacing w:after="0"/>
              <w:rPr>
                <w:iCs/>
                <w:noProof/>
              </w:rPr>
            </w:pPr>
          </w:p>
        </w:tc>
      </w:tr>
      <w:tr w:rsidR="004F19C8" w14:paraId="47CE6BB3" w14:textId="77777777" w:rsidTr="00477C34">
        <w:tc>
          <w:tcPr>
            <w:tcW w:w="14268" w:type="dxa"/>
            <w:tcBorders>
              <w:top w:val="single" w:sz="4" w:space="0" w:color="auto"/>
              <w:left w:val="single" w:sz="4" w:space="0" w:color="auto"/>
              <w:bottom w:val="single" w:sz="4" w:space="0" w:color="auto"/>
              <w:right w:val="single" w:sz="4" w:space="0" w:color="auto"/>
            </w:tcBorders>
          </w:tcPr>
          <w:p w14:paraId="10407CE2" w14:textId="77777777" w:rsidR="007B42F2" w:rsidRPr="00D319FD" w:rsidRDefault="007B42F2" w:rsidP="007B42F2">
            <w:pPr>
              <w:spacing w:after="0"/>
              <w:rPr>
                <w:b/>
                <w:bCs/>
                <w:lang w:val="et-EE"/>
              </w:rPr>
            </w:pPr>
            <w:bookmarkStart w:id="2" w:name="_Hlk61346791"/>
            <w:r w:rsidRPr="00D319FD">
              <w:rPr>
                <w:b/>
                <w:bCs/>
                <w:lang w:val="et-EE"/>
              </w:rPr>
              <w:lastRenderedPageBreak/>
              <w:t>Kestlikkusteguritele avalduva põhilise negatiivse mõju</w:t>
            </w:r>
            <w:r w:rsidRPr="00D319FD">
              <w:rPr>
                <w:b/>
                <w:bCs/>
                <w:color w:val="000000"/>
                <w:lang w:val="et-EE"/>
              </w:rPr>
              <w:t xml:space="preserve"> kindlakstegemise ja prioriseerimise </w:t>
            </w:r>
            <w:r w:rsidRPr="00D319FD">
              <w:rPr>
                <w:b/>
                <w:bCs/>
                <w:lang w:val="et-EE"/>
              </w:rPr>
              <w:t>põhimõtete kirjeldus</w:t>
            </w:r>
          </w:p>
          <w:p w14:paraId="6C2B6F67" w14:textId="02C4497A" w:rsidR="00C71FB5" w:rsidRPr="00E8547C" w:rsidRDefault="009072DA" w:rsidP="00C71FB5">
            <w:pPr>
              <w:spacing w:after="0"/>
              <w:rPr>
                <w:bCs/>
                <w:noProof/>
                <w:lang w:val="en-US"/>
              </w:rPr>
            </w:pPr>
            <w:r>
              <w:rPr>
                <w:bCs/>
                <w:noProof/>
                <w:lang w:val="et"/>
              </w:rPr>
              <w:t>AIF</w:t>
            </w:r>
            <w:r w:rsidR="007B42F2">
              <w:rPr>
                <w:bCs/>
                <w:noProof/>
                <w:lang w:val="et"/>
              </w:rPr>
              <w:t>M</w:t>
            </w:r>
            <w:r>
              <w:rPr>
                <w:bCs/>
                <w:noProof/>
                <w:lang w:val="et"/>
              </w:rPr>
              <w:t xml:space="preserve"> kohaldab Northern Horizon Groupi vastutustundliku investeerimise („</w:t>
            </w:r>
            <w:r w:rsidRPr="006A73D4">
              <w:rPr>
                <w:b/>
                <w:noProof/>
                <w:lang w:val="et"/>
              </w:rPr>
              <w:t>RI</w:t>
            </w:r>
            <w:r>
              <w:rPr>
                <w:bCs/>
                <w:noProof/>
                <w:lang w:val="et"/>
              </w:rPr>
              <w:t>“) poliitikat. Uusim RI poliitika kiideti heaks Northern Horizon Grupi juhatuse poolt 12.11.2024 ja Northern Horizon AS-i juhatuse poolt 12.11.2024 ning seda uuendatakse igal aastal. RI poliitika kohaselt arvestatakse jätkusuutlikkuse tegureid sihtotstarbeliste investeeringute hoolsuskohustuse protsessi osana ja investeerimisettepaneku osana esitatavas kokkuvõtlikus järelduses. Kõik PAI näitajad on lisatud ka investeerimispoliitikasse, mi</w:t>
            </w:r>
            <w:r>
              <w:rPr>
                <w:bCs/>
                <w:noProof/>
                <w:lang w:val="et"/>
              </w:rPr>
              <w:t>s sisaldab ka malli nende hindamiseks. Investeerimispoliitika kiitis heaks AIFM</w:t>
            </w:r>
            <w:r w:rsidR="00EC05A9">
              <w:rPr>
                <w:bCs/>
                <w:noProof/>
                <w:lang w:val="et"/>
              </w:rPr>
              <w:t>i</w:t>
            </w:r>
            <w:r>
              <w:rPr>
                <w:bCs/>
                <w:noProof/>
                <w:lang w:val="et"/>
              </w:rPr>
              <w:t xml:space="preserve"> juhatus 12.11.2024 ja seda ajakohastatakse igal aastal.</w:t>
            </w:r>
          </w:p>
          <w:p w14:paraId="7590BCF3" w14:textId="73ADF7E3" w:rsidR="00E8547C" w:rsidRPr="00E8547C" w:rsidRDefault="009072DA" w:rsidP="00E8547C">
            <w:pPr>
              <w:spacing w:after="0"/>
              <w:rPr>
                <w:bCs/>
                <w:noProof/>
                <w:lang w:val="en-US"/>
              </w:rPr>
            </w:pPr>
            <w:r w:rsidRPr="00E8547C">
              <w:rPr>
                <w:bCs/>
                <w:noProof/>
                <w:lang w:val="et"/>
              </w:rPr>
              <w:lastRenderedPageBreak/>
              <w:t xml:space="preserve">Investeerimisotsustega seoses käsitletavad </w:t>
            </w:r>
            <w:r w:rsidR="00124FC6" w:rsidRPr="00D319FD">
              <w:rPr>
                <w:lang w:val="et-EE"/>
              </w:rPr>
              <w:t>kestlikkustegurid</w:t>
            </w:r>
            <w:r w:rsidR="00124FC6">
              <w:rPr>
                <w:lang w:val="et-EE"/>
              </w:rPr>
              <w:t xml:space="preserve"> </w:t>
            </w:r>
            <w:r w:rsidRPr="00E8547C">
              <w:rPr>
                <w:bCs/>
                <w:noProof/>
                <w:lang w:val="et"/>
              </w:rPr>
              <w:t>hõlmavad muu hulgas järgmist:</w:t>
            </w:r>
          </w:p>
          <w:p w14:paraId="4CADB0DC" w14:textId="2A3F6863" w:rsidR="00E8547C" w:rsidRPr="00E8547C" w:rsidRDefault="009072DA" w:rsidP="00E8547C">
            <w:pPr>
              <w:numPr>
                <w:ilvl w:val="0"/>
                <w:numId w:val="46"/>
              </w:numPr>
              <w:spacing w:after="0"/>
              <w:rPr>
                <w:bCs/>
                <w:noProof/>
                <w:lang w:val="en-US"/>
              </w:rPr>
            </w:pPr>
            <w:r w:rsidRPr="00E8547C">
              <w:rPr>
                <w:bCs/>
                <w:noProof/>
                <w:lang w:val="et"/>
              </w:rPr>
              <w:t>Energiatõhususe hindamine – energiavarustus ja juurdepääs taastuvenergiale, energiatarbimise andmete allikad, energiatõhususe hinnangud, hoonete sertifitseerimine, heitkogused ja muud asjakohased teemad</w:t>
            </w:r>
            <w:r w:rsidR="00651A3C">
              <w:rPr>
                <w:bCs/>
                <w:noProof/>
                <w:lang w:val="et"/>
              </w:rPr>
              <w:t>.</w:t>
            </w:r>
          </w:p>
          <w:p w14:paraId="3E66C80E" w14:textId="5D945BDB" w:rsidR="00E8547C" w:rsidRPr="00E8547C" w:rsidRDefault="009072DA" w:rsidP="00E8547C">
            <w:pPr>
              <w:numPr>
                <w:ilvl w:val="0"/>
                <w:numId w:val="46"/>
              </w:numPr>
              <w:spacing w:after="0"/>
              <w:rPr>
                <w:bCs/>
                <w:noProof/>
                <w:lang w:val="en-US"/>
              </w:rPr>
            </w:pPr>
            <w:r w:rsidRPr="00E8547C">
              <w:rPr>
                <w:bCs/>
                <w:noProof/>
                <w:lang w:val="et"/>
              </w:rPr>
              <w:t>Keskkonnaaspektide hindamine – ehitusmaterjalid, saastumine, veekasutuse tõhusus, veevarustus, jäätmekäitlus ja muud asjakohased teemad</w:t>
            </w:r>
            <w:r w:rsidR="00651A3C">
              <w:rPr>
                <w:bCs/>
                <w:noProof/>
                <w:lang w:val="et"/>
              </w:rPr>
              <w:t>.</w:t>
            </w:r>
          </w:p>
          <w:p w14:paraId="08159CA7" w14:textId="3AC237BD" w:rsidR="00E8547C" w:rsidRPr="00E8547C" w:rsidRDefault="009072DA" w:rsidP="00E8547C">
            <w:pPr>
              <w:numPr>
                <w:ilvl w:val="0"/>
                <w:numId w:val="46"/>
              </w:numPr>
              <w:spacing w:after="0"/>
              <w:rPr>
                <w:bCs/>
                <w:noProof/>
                <w:lang w:val="en-US"/>
              </w:rPr>
            </w:pPr>
            <w:r w:rsidRPr="00E8547C">
              <w:rPr>
                <w:bCs/>
                <w:noProof/>
                <w:lang w:val="et"/>
              </w:rPr>
              <w:t xml:space="preserve">Sotsiaalsete aspektide hindamine – hoonete ohutus, sisekeskkonna kvaliteet, tervis ja heaolu, rohelise klausli sätted, </w:t>
            </w:r>
            <w:r w:rsidR="00874667">
              <w:rPr>
                <w:bCs/>
                <w:noProof/>
                <w:lang w:val="et"/>
              </w:rPr>
              <w:t>rentniku</w:t>
            </w:r>
            <w:r w:rsidRPr="00E8547C">
              <w:rPr>
                <w:bCs/>
                <w:noProof/>
                <w:lang w:val="et"/>
              </w:rPr>
              <w:t xml:space="preserve"> ja </w:t>
            </w:r>
            <w:r w:rsidR="00874667">
              <w:rPr>
                <w:bCs/>
                <w:noProof/>
                <w:lang w:val="et"/>
              </w:rPr>
              <w:t>rendi</w:t>
            </w:r>
            <w:r w:rsidRPr="00E8547C">
              <w:rPr>
                <w:bCs/>
                <w:noProof/>
                <w:lang w:val="et"/>
              </w:rPr>
              <w:t>leandja ESG koostöö, muud asjakohased teemad</w:t>
            </w:r>
            <w:r w:rsidR="00651A3C">
              <w:rPr>
                <w:bCs/>
                <w:noProof/>
                <w:lang w:val="et"/>
              </w:rPr>
              <w:t>.</w:t>
            </w:r>
          </w:p>
          <w:p w14:paraId="402764CC" w14:textId="27F36A67" w:rsidR="00E8547C" w:rsidRPr="00E8547C" w:rsidRDefault="009072DA" w:rsidP="00E8547C">
            <w:pPr>
              <w:numPr>
                <w:ilvl w:val="0"/>
                <w:numId w:val="46"/>
              </w:numPr>
              <w:spacing w:after="0"/>
              <w:rPr>
                <w:bCs/>
                <w:noProof/>
                <w:lang w:val="en-US"/>
              </w:rPr>
            </w:pPr>
            <w:r w:rsidRPr="00E8547C">
              <w:rPr>
                <w:bCs/>
                <w:noProof/>
                <w:lang w:val="et"/>
              </w:rPr>
              <w:t>Uusehituse ja renoveerimisega seotud riskid – asukoha valik, bioloogiline mitmekesisus, arendaja valik, jäätmekäitlus, ehitusmaterjalid ja muud asjakohased teemad</w:t>
            </w:r>
            <w:r w:rsidR="00651A3C">
              <w:rPr>
                <w:bCs/>
                <w:noProof/>
                <w:lang w:val="et"/>
              </w:rPr>
              <w:t>.</w:t>
            </w:r>
          </w:p>
          <w:p w14:paraId="4252AD71" w14:textId="43FF128D" w:rsidR="00E8547C" w:rsidRDefault="009072DA" w:rsidP="00E8547C">
            <w:pPr>
              <w:numPr>
                <w:ilvl w:val="0"/>
                <w:numId w:val="46"/>
              </w:numPr>
              <w:spacing w:after="0"/>
              <w:rPr>
                <w:bCs/>
                <w:noProof/>
                <w:lang w:val="en-US"/>
              </w:rPr>
            </w:pPr>
            <w:r w:rsidRPr="00E8547C">
              <w:rPr>
                <w:bCs/>
                <w:noProof/>
                <w:lang w:val="et"/>
              </w:rPr>
              <w:t>Muud teemad – juurdepääs transpordiühendustele, regulatiivsed riskid, kliimamuutustega seotud ülemineku ülevaade, füüsilised ja sotsiaalsed riskid.</w:t>
            </w:r>
          </w:p>
          <w:p w14:paraId="3F8C8AD9" w14:textId="74781540" w:rsidR="006A73D4" w:rsidRDefault="009072DA" w:rsidP="006A73D4">
            <w:pPr>
              <w:spacing w:after="0"/>
              <w:rPr>
                <w:bCs/>
                <w:noProof/>
              </w:rPr>
            </w:pPr>
            <w:r>
              <w:rPr>
                <w:bCs/>
                <w:noProof/>
                <w:lang w:val="et"/>
              </w:rPr>
              <w:t>PAI näitajad on valitud olulisuse alusel. AIF</w:t>
            </w:r>
            <w:r w:rsidR="00651A3C">
              <w:rPr>
                <w:bCs/>
                <w:noProof/>
                <w:lang w:val="et"/>
              </w:rPr>
              <w:t xml:space="preserve">M </w:t>
            </w:r>
            <w:r>
              <w:rPr>
                <w:bCs/>
                <w:noProof/>
                <w:lang w:val="et"/>
              </w:rPr>
              <w:t>ei arvesta „Uute ehitiste ja ulatuslike renoveerimistööde tooraine tarbimist”, kuna ta teostab selliseid toiminguid väikeses mahus. Samuti ei arvesta AIF</w:t>
            </w:r>
            <w:r w:rsidR="00651A3C">
              <w:rPr>
                <w:bCs/>
                <w:noProof/>
                <w:lang w:val="et"/>
              </w:rPr>
              <w:t xml:space="preserve">M </w:t>
            </w:r>
            <w:r>
              <w:rPr>
                <w:bCs/>
                <w:noProof/>
                <w:lang w:val="et"/>
              </w:rPr>
              <w:t>oma olemasolevate varade „maa kunstlikuks muutmisega“, kuna kõik tema hooned asuvad juba projekteeritud linnapiirkondades.</w:t>
            </w:r>
          </w:p>
          <w:p w14:paraId="16C0FB61" w14:textId="55AE388D" w:rsidR="001D3001" w:rsidRDefault="009072DA" w:rsidP="00730136">
            <w:pPr>
              <w:spacing w:after="0"/>
              <w:rPr>
                <w:bCs/>
                <w:noProof/>
              </w:rPr>
            </w:pPr>
            <w:r>
              <w:rPr>
                <w:bCs/>
                <w:noProof/>
                <w:lang w:val="et"/>
              </w:rPr>
              <w:t>AIF</w:t>
            </w:r>
            <w:r w:rsidR="00651A3C">
              <w:rPr>
                <w:bCs/>
                <w:noProof/>
                <w:lang w:val="et"/>
              </w:rPr>
              <w:t>M</w:t>
            </w:r>
            <w:r>
              <w:rPr>
                <w:bCs/>
                <w:noProof/>
                <w:lang w:val="et"/>
              </w:rPr>
              <w:t xml:space="preserve"> kogub PAI näitajate andmeid otse hallatavatelt varadelt. Kasvuhoonegaaside heitkogused arvutati asukohapõhise metoodika abil, kasutades kolmanda osapoole ESG andmeplatvormi pakkuja süsinikukalkulaatori tööriista, mis kasutab Rahvusvahelise Energiaagentuuri heitekoefitsiente. Andmete standardiseerimise raskuste tõttu põhinevad kaugkütte heitetegurid ESG andmeplatvormi pakutaval standardteguril. Teave tegevuse energiatarbimise ja kasvuhoonegaaside heitkoguste kohta on tagatud ISAE 3000 standarditega piiratud</w:t>
            </w:r>
            <w:r>
              <w:rPr>
                <w:bCs/>
                <w:noProof/>
                <w:lang w:val="et"/>
              </w:rPr>
              <w:t xml:space="preserve"> kindluse alusel, et tagada andmete kvaliteet.</w:t>
            </w:r>
          </w:p>
          <w:p w14:paraId="779C7200" w14:textId="7FE58AD9" w:rsidR="006A73D4" w:rsidRPr="008861A7" w:rsidRDefault="006A73D4" w:rsidP="00730136">
            <w:pPr>
              <w:spacing w:after="0"/>
              <w:rPr>
                <w:iCs/>
                <w:noProof/>
              </w:rPr>
            </w:pPr>
          </w:p>
        </w:tc>
      </w:tr>
      <w:tr w:rsidR="004F19C8" w14:paraId="29469C90" w14:textId="77777777" w:rsidTr="00477C34">
        <w:tc>
          <w:tcPr>
            <w:tcW w:w="14268" w:type="dxa"/>
            <w:shd w:val="clear" w:color="auto" w:fill="auto"/>
          </w:tcPr>
          <w:p w14:paraId="55069C0D" w14:textId="77777777" w:rsidR="001D3001" w:rsidRPr="008861A7" w:rsidRDefault="009072DA" w:rsidP="00477C34">
            <w:pPr>
              <w:spacing w:after="0"/>
              <w:rPr>
                <w:b/>
                <w:noProof/>
              </w:rPr>
            </w:pPr>
            <w:r w:rsidRPr="008861A7">
              <w:rPr>
                <w:b/>
                <w:noProof/>
                <w:lang w:val="et"/>
              </w:rPr>
              <w:lastRenderedPageBreak/>
              <w:t>Kaasamispoliitikad</w:t>
            </w:r>
          </w:p>
          <w:p w14:paraId="784DAEF3" w14:textId="687514BD" w:rsidR="001D3001" w:rsidRDefault="009072DA" w:rsidP="00730136">
            <w:pPr>
              <w:spacing w:after="0"/>
              <w:rPr>
                <w:bCs/>
                <w:noProof/>
              </w:rPr>
            </w:pPr>
            <w:r w:rsidRPr="001A7D2B">
              <w:rPr>
                <w:bCs/>
                <w:noProof/>
                <w:lang w:val="et"/>
              </w:rPr>
              <w:t>Kuna AIF</w:t>
            </w:r>
            <w:r w:rsidR="00651A3C">
              <w:rPr>
                <w:bCs/>
                <w:noProof/>
                <w:lang w:val="et"/>
              </w:rPr>
              <w:t xml:space="preserve">M </w:t>
            </w:r>
            <w:r w:rsidRPr="001A7D2B">
              <w:rPr>
                <w:bCs/>
                <w:noProof/>
                <w:lang w:val="et"/>
              </w:rPr>
              <w:t>valitseb noteeritud kinnisvarafondi (Baltic Horizon F</w:t>
            </w:r>
            <w:r w:rsidR="00651A3C">
              <w:rPr>
                <w:bCs/>
                <w:noProof/>
                <w:lang w:val="et"/>
              </w:rPr>
              <w:t>o</w:t>
            </w:r>
            <w:r w:rsidRPr="001A7D2B">
              <w:rPr>
                <w:bCs/>
                <w:noProof/>
                <w:lang w:val="et"/>
              </w:rPr>
              <w:t xml:space="preserve">nd) ega investeeri börsil noteeritud ettevõtetesse, ei ole tal investeerimisobjektiks olevate ettevõtetega seotud kaasamispoliitikat, nagu on osutatud Euroopa Parlamendi ja nõukogu direktiivi 2007/36/EÜ artiklis 3g. </w:t>
            </w:r>
          </w:p>
          <w:p w14:paraId="1DB36025" w14:textId="4362870F" w:rsidR="00476CFA" w:rsidRDefault="009072DA" w:rsidP="006A73D4">
            <w:pPr>
              <w:spacing w:after="0"/>
              <w:rPr>
                <w:bCs/>
                <w:noProof/>
              </w:rPr>
            </w:pPr>
            <w:r w:rsidRPr="001308D2">
              <w:rPr>
                <w:bCs/>
                <w:noProof/>
                <w:lang w:val="et"/>
              </w:rPr>
              <w:t xml:space="preserve">Kinnisvaravarade PAI vähendamiseks tehtavat kaasamistööd teevad fondihaldur ja varahalduse juht, keda abistab jätkusuutlikkuse juht. Fondi varadel on ka välised kinnisvarahaldurid, kes tegelevad kinnisvaras </w:t>
            </w:r>
            <w:r w:rsidR="007A2A55">
              <w:rPr>
                <w:bCs/>
                <w:noProof/>
                <w:lang w:val="et"/>
              </w:rPr>
              <w:t>rent</w:t>
            </w:r>
            <w:r w:rsidRPr="001308D2">
              <w:rPr>
                <w:bCs/>
                <w:noProof/>
                <w:lang w:val="et"/>
              </w:rPr>
              <w:t>nike kaasamisega.</w:t>
            </w:r>
          </w:p>
          <w:p w14:paraId="4CF73ED7" w14:textId="5333F073" w:rsidR="006A73D4" w:rsidRDefault="009072DA" w:rsidP="006A73D4">
            <w:pPr>
              <w:spacing w:after="0"/>
              <w:rPr>
                <w:bCs/>
                <w:noProof/>
              </w:rPr>
            </w:pPr>
            <w:r>
              <w:rPr>
                <w:bCs/>
                <w:noProof/>
                <w:lang w:val="et"/>
              </w:rPr>
              <w:lastRenderedPageBreak/>
              <w:t>AIF</w:t>
            </w:r>
            <w:r w:rsidR="00651A3C">
              <w:rPr>
                <w:bCs/>
                <w:noProof/>
                <w:lang w:val="et"/>
              </w:rPr>
              <w:t>M</w:t>
            </w:r>
            <w:r w:rsidR="005E0289">
              <w:rPr>
                <w:bCs/>
                <w:noProof/>
                <w:lang w:val="et"/>
              </w:rPr>
              <w:t>i</w:t>
            </w:r>
            <w:r w:rsidR="00651A3C">
              <w:rPr>
                <w:bCs/>
                <w:noProof/>
                <w:lang w:val="et"/>
              </w:rPr>
              <w:t xml:space="preserve"> </w:t>
            </w:r>
            <w:r>
              <w:rPr>
                <w:bCs/>
                <w:noProof/>
                <w:lang w:val="et"/>
              </w:rPr>
              <w:t>lähenemisviis vastutustundlikule varade haldamisele roheliste rendilepingute kaudu on kirjeldatud vastutustundliku varade haldamise poliitika põhimõttes nr 5.</w:t>
            </w:r>
            <w:r>
              <w:rPr>
                <w:rStyle w:val="FootnoteReference"/>
                <w:bCs/>
                <w:noProof/>
              </w:rPr>
              <w:footnoteReference w:id="2"/>
            </w:r>
            <w:r>
              <w:rPr>
                <w:bCs/>
                <w:noProof/>
                <w:lang w:val="et"/>
              </w:rPr>
              <w:t xml:space="preserve"> Nimetatud poliitika kohaselt teeb Northern Horizon kõik endast oleneva, et lisada rohelise rendi klauslid kõikidesse uutesse rendilepingutesse ja olemasolevate rendilepingute uuendamisse. Võimalikud rohelise rendi klauslid võivad hõlmata tarbimisandmete jagamise kokkuleppeid, eelistamist taastuvatele või mittefossiilsetele energiavormidele, </w:t>
            </w:r>
            <w:r w:rsidR="00602B7D">
              <w:rPr>
                <w:bCs/>
                <w:noProof/>
                <w:lang w:val="et"/>
              </w:rPr>
              <w:t>rendi</w:t>
            </w:r>
            <w:r w:rsidR="00405D30">
              <w:rPr>
                <w:bCs/>
                <w:noProof/>
                <w:lang w:val="et"/>
              </w:rPr>
              <w:t>le</w:t>
            </w:r>
            <w:r>
              <w:rPr>
                <w:bCs/>
                <w:noProof/>
                <w:lang w:val="et"/>
              </w:rPr>
              <w:t xml:space="preserve">andja abi renoveerimisprojektide puhul ja muid ESG koordineerimisega seotud küsimusi, mida aeg-ajalt oluliseks peetakse. 2024. aastal oli rohelise </w:t>
            </w:r>
            <w:r w:rsidR="00405D30">
              <w:rPr>
                <w:bCs/>
                <w:noProof/>
                <w:lang w:val="et"/>
              </w:rPr>
              <w:t>rendi</w:t>
            </w:r>
            <w:r>
              <w:rPr>
                <w:bCs/>
                <w:noProof/>
                <w:lang w:val="et"/>
              </w:rPr>
              <w:t>lepingu klauslite (lähtudes brutopinnast) osakaal Baltic Horizon F</w:t>
            </w:r>
            <w:r w:rsidR="00401505">
              <w:rPr>
                <w:bCs/>
                <w:noProof/>
                <w:lang w:val="et"/>
              </w:rPr>
              <w:t>o</w:t>
            </w:r>
            <w:r>
              <w:rPr>
                <w:bCs/>
                <w:noProof/>
                <w:lang w:val="et"/>
              </w:rPr>
              <w:t>ndi portfellis 97% jae</w:t>
            </w:r>
            <w:r>
              <w:rPr>
                <w:bCs/>
                <w:noProof/>
                <w:lang w:val="et"/>
              </w:rPr>
              <w:t xml:space="preserve">portfelli </w:t>
            </w:r>
            <w:r w:rsidR="00F344A3">
              <w:rPr>
                <w:bCs/>
                <w:noProof/>
                <w:lang w:val="et"/>
              </w:rPr>
              <w:t>rentnike</w:t>
            </w:r>
            <w:r>
              <w:rPr>
                <w:bCs/>
                <w:noProof/>
                <w:lang w:val="et"/>
              </w:rPr>
              <w:t xml:space="preserve"> ja 99% </w:t>
            </w:r>
            <w:r w:rsidR="00874667" w:rsidRPr="00874667">
              <w:rPr>
                <w:bCs/>
                <w:noProof/>
              </w:rPr>
              <w:t>bürooportfelli</w:t>
            </w:r>
            <w:r>
              <w:rPr>
                <w:bCs/>
                <w:noProof/>
                <w:lang w:val="et"/>
              </w:rPr>
              <w:t xml:space="preserve"> puhul, mis moodustas rohelise </w:t>
            </w:r>
            <w:r w:rsidR="00874667">
              <w:rPr>
                <w:bCs/>
                <w:noProof/>
                <w:lang w:val="et"/>
              </w:rPr>
              <w:t>rendi</w:t>
            </w:r>
            <w:r>
              <w:rPr>
                <w:bCs/>
                <w:noProof/>
                <w:lang w:val="et"/>
              </w:rPr>
              <w:t>lepingu kogukatte 98%.</w:t>
            </w:r>
          </w:p>
          <w:p w14:paraId="799D7962" w14:textId="750312B1" w:rsidR="00681CDE" w:rsidRPr="006A73D4" w:rsidRDefault="00681CDE" w:rsidP="00730136">
            <w:pPr>
              <w:spacing w:after="0"/>
              <w:rPr>
                <w:bCs/>
                <w:noProof/>
                <w:lang w:val="en-US"/>
              </w:rPr>
            </w:pPr>
          </w:p>
        </w:tc>
      </w:tr>
      <w:tr w:rsidR="004F19C8" w14:paraId="56955735" w14:textId="77777777" w:rsidTr="00477C34">
        <w:tc>
          <w:tcPr>
            <w:tcW w:w="14268" w:type="dxa"/>
            <w:tcBorders>
              <w:top w:val="single" w:sz="4" w:space="0" w:color="auto"/>
              <w:left w:val="single" w:sz="4" w:space="0" w:color="auto"/>
              <w:bottom w:val="single" w:sz="4" w:space="0" w:color="auto"/>
              <w:right w:val="single" w:sz="4" w:space="0" w:color="auto"/>
            </w:tcBorders>
          </w:tcPr>
          <w:p w14:paraId="14F112D0" w14:textId="77777777" w:rsidR="001D3001" w:rsidRPr="008861A7" w:rsidRDefault="009072DA" w:rsidP="00477C34">
            <w:pPr>
              <w:spacing w:after="0"/>
              <w:rPr>
                <w:b/>
                <w:bCs/>
                <w:noProof/>
              </w:rPr>
            </w:pPr>
            <w:r w:rsidRPr="008861A7">
              <w:rPr>
                <w:b/>
                <w:bCs/>
                <w:noProof/>
                <w:lang w:val="et"/>
              </w:rPr>
              <w:lastRenderedPageBreak/>
              <w:t>Viited rahvusvahelistele standarditele</w:t>
            </w:r>
          </w:p>
          <w:p w14:paraId="13BDDACA" w14:textId="16F042F8" w:rsidR="001D3001" w:rsidRDefault="009072DA" w:rsidP="00730136">
            <w:pPr>
              <w:spacing w:after="0"/>
              <w:rPr>
                <w:bCs/>
                <w:noProof/>
              </w:rPr>
            </w:pPr>
            <w:r>
              <w:rPr>
                <w:bCs/>
                <w:noProof/>
                <w:lang w:val="et"/>
              </w:rPr>
              <w:t>RI poliitika hõlmab Northern Horizon Groupi inimõiguste kaalutlusi. Meie inimõiguste poliitika põhineb rahvusvaheliselt tunnustatud vastutustundliku ärikäitumise miinimumstandarditel, mis on väljendatud ÜRO inimõiguste ja ettevõtluse juhtpõhimõtetes („</w:t>
            </w:r>
            <w:r w:rsidR="003E1DBE" w:rsidRPr="001A7D2B">
              <w:rPr>
                <w:b/>
                <w:noProof/>
                <w:lang w:val="et"/>
              </w:rPr>
              <w:t>UNGP</w:t>
            </w:r>
            <w:r>
              <w:rPr>
                <w:bCs/>
                <w:noProof/>
                <w:lang w:val="et"/>
              </w:rPr>
              <w:t>“) ja OECD suunistes rahvusvahelistele ettevõtetele („</w:t>
            </w:r>
            <w:r w:rsidR="003E1DBE" w:rsidRPr="001A7D2B">
              <w:rPr>
                <w:b/>
                <w:noProof/>
                <w:lang w:val="et"/>
              </w:rPr>
              <w:t>minimaalsed kaitsemeetmed</w:t>
            </w:r>
            <w:r>
              <w:rPr>
                <w:bCs/>
                <w:noProof/>
                <w:lang w:val="et"/>
              </w:rPr>
              <w:t>“), mis kajastuvad ka ÜRO globaalses kokkuleppes. Northern Horizon, selle tütarettevõtted, sealhulgas AIFM</w:t>
            </w:r>
            <w:r>
              <w:rPr>
                <w:bCs/>
                <w:noProof/>
                <w:lang w:val="et"/>
              </w:rPr>
              <w:t xml:space="preserve"> </w:t>
            </w:r>
            <w:r>
              <w:rPr>
                <w:bCs/>
                <w:noProof/>
                <w:lang w:val="et"/>
              </w:rPr>
              <w:t>ja töötajad, on pühendunud rahvusvaheliselt tunnustatud inimõiguste austamisele.</w:t>
            </w:r>
          </w:p>
          <w:p w14:paraId="7F6B6883" w14:textId="6EF0C617" w:rsidR="00ED0993" w:rsidRPr="008861A7" w:rsidRDefault="009072DA" w:rsidP="00730136">
            <w:pPr>
              <w:spacing w:after="0"/>
              <w:rPr>
                <w:iCs/>
                <w:noProof/>
              </w:rPr>
            </w:pPr>
            <w:r>
              <w:rPr>
                <w:iCs/>
                <w:noProof/>
                <w:lang w:val="et"/>
              </w:rPr>
              <w:t xml:space="preserve">AIFM </w:t>
            </w:r>
            <w:r>
              <w:rPr>
                <w:iCs/>
                <w:noProof/>
                <w:lang w:val="et"/>
              </w:rPr>
              <w:t>on analüüsinud kõigi oma varade vastavust CRREM-ile, mis hõlmab Pariisi kokkuleppe eesmärkidega kooskõlas olevaid süsinikuheite käike. Pariisi kokkuleppe eesmärkide toetamiseks on alternatiivse investeerimisfondi valitseja lisanud ka kõigi oma valitsetavate fondide tegevuse käigus tekkiva süsiniku netoheite nulltaseme aastaks 2030.</w:t>
            </w:r>
          </w:p>
        </w:tc>
      </w:tr>
      <w:bookmarkEnd w:id="2"/>
      <w:tr w:rsidR="004F19C8" w14:paraId="34689C2C" w14:textId="77777777" w:rsidTr="00477C34">
        <w:tc>
          <w:tcPr>
            <w:tcW w:w="14268" w:type="dxa"/>
            <w:tcBorders>
              <w:top w:val="single" w:sz="4" w:space="0" w:color="auto"/>
              <w:left w:val="single" w:sz="4" w:space="0" w:color="auto"/>
              <w:bottom w:val="single" w:sz="4" w:space="0" w:color="auto"/>
              <w:right w:val="single" w:sz="4" w:space="0" w:color="auto"/>
            </w:tcBorders>
          </w:tcPr>
          <w:p w14:paraId="3A3F8291" w14:textId="77777777" w:rsidR="001D3001" w:rsidRPr="008861A7" w:rsidRDefault="009072DA" w:rsidP="00477C34">
            <w:pPr>
              <w:spacing w:after="0"/>
              <w:rPr>
                <w:b/>
                <w:bCs/>
                <w:noProof/>
              </w:rPr>
            </w:pPr>
            <w:r w:rsidRPr="008861A7">
              <w:rPr>
                <w:b/>
                <w:bCs/>
                <w:noProof/>
                <w:lang w:val="et"/>
              </w:rPr>
              <w:t>Ajalooline võrdlus</w:t>
            </w:r>
          </w:p>
          <w:p w14:paraId="3180C73F" w14:textId="31A6ACC8" w:rsidR="001D3001" w:rsidRPr="008861A7" w:rsidRDefault="009072DA" w:rsidP="00E72E90">
            <w:pPr>
              <w:spacing w:after="0"/>
              <w:rPr>
                <w:bCs/>
                <w:noProof/>
              </w:rPr>
            </w:pPr>
            <w:r>
              <w:rPr>
                <w:bCs/>
                <w:noProof/>
                <w:lang w:val="et"/>
              </w:rPr>
              <w:t xml:space="preserve">Pole kohaldatav. Kuna 2024 oli esimene aasta, mil AIFM </w:t>
            </w:r>
            <w:r>
              <w:rPr>
                <w:bCs/>
                <w:noProof/>
                <w:lang w:val="et"/>
              </w:rPr>
              <w:t>arvestas PAI-ga, on esimene ajalooline võrdlus esitatud seisuga 30.06.2026.</w:t>
            </w:r>
          </w:p>
        </w:tc>
      </w:tr>
    </w:tbl>
    <w:p w14:paraId="2C3C071F" w14:textId="77777777" w:rsidR="001D3001" w:rsidRPr="008861A7" w:rsidRDefault="001D3001" w:rsidP="001D3001">
      <w:pPr>
        <w:jc w:val="center"/>
        <w:rPr>
          <w:rFonts w:eastAsia="Calibri"/>
          <w:i/>
          <w:iCs/>
          <w:noProof/>
        </w:rPr>
      </w:pPr>
    </w:p>
    <w:sectPr w:rsidR="001D3001" w:rsidRPr="008861A7" w:rsidSect="00E32439">
      <w:headerReference w:type="default" r:id="rId11"/>
      <w:footerReference w:type="default" r:id="rId12"/>
      <w:headerReference w:type="first" r:id="rId13"/>
      <w:footerReference w:type="first" r:id="rId14"/>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4816F" w14:textId="77777777" w:rsidR="0047779C" w:rsidRDefault="009072DA" w:rsidP="00E07FCF">
      <w:pPr>
        <w:spacing w:before="0" w:after="0"/>
      </w:pPr>
      <w:r>
        <w:separator/>
      </w:r>
    </w:p>
  </w:endnote>
  <w:endnote w:type="continuationSeparator" w:id="0">
    <w:p w14:paraId="255B8CC6" w14:textId="77777777" w:rsidR="0047779C" w:rsidRDefault="009072DA" w:rsidP="00E07FCF">
      <w:pPr>
        <w:spacing w:before="0" w:after="0"/>
      </w:pPr>
      <w:r>
        <w:continuationSeparator/>
      </w:r>
    </w:p>
  </w:endnote>
  <w:endnote w:type="continuationNotice" w:id="1">
    <w:p w14:paraId="27D13D2A" w14:textId="77777777" w:rsidR="0047779C" w:rsidRDefault="004777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215DF" w14:textId="12202DDC" w:rsidR="00E32439" w:rsidRPr="00E32439" w:rsidRDefault="009072DA" w:rsidP="00E32439">
    <w:pPr>
      <w:pStyle w:val="FooterLandscape"/>
      <w:rPr>
        <w:rFonts w:ascii="Arial" w:hAnsi="Arial" w:cs="Arial"/>
        <w:b/>
        <w:sz w:val="48"/>
      </w:rPr>
    </w:pPr>
    <w:r w:rsidRPr="00E32439">
      <w:rPr>
        <w:rFonts w:ascii="Arial" w:hAnsi="Arial" w:cs="Arial"/>
        <w:b/>
        <w:sz w:val="48"/>
        <w:lang w:val="et"/>
      </w:rPr>
      <w:t>EN</w:t>
    </w:r>
    <w:r w:rsidRPr="00E32439">
      <w:rPr>
        <w:rFonts w:ascii="Arial" w:hAnsi="Arial" w:cs="Arial"/>
        <w:b/>
        <w:sz w:val="48"/>
        <w:lang w:val="et"/>
      </w:rPr>
      <w:tab/>
    </w:r>
    <w:r>
      <w:fldChar w:fldCharType="begin"/>
    </w:r>
    <w:r>
      <w:rPr>
        <w:lang w:val="et"/>
      </w:rPr>
      <w:instrText xml:space="preserve"> PAGE  \* MERGEFORMAT </w:instrText>
    </w:r>
    <w:r>
      <w:fldChar w:fldCharType="separate"/>
    </w:r>
    <w:r w:rsidR="00C319F4">
      <w:rPr>
        <w:noProof/>
        <w:lang w:val="et"/>
      </w:rPr>
      <w:t>9</w:t>
    </w:r>
    <w:r>
      <w:fldChar w:fldCharType="end"/>
    </w:r>
    <w:r w:rsidRPr="00E32439">
      <w:rPr>
        <w:rFonts w:ascii="Arial" w:hAnsi="Arial" w:cs="Arial"/>
        <w:b/>
        <w:sz w:val="48"/>
        <w:lang w:val="et"/>
      </w:rPr>
      <w:tab/>
    </w:r>
    <w:r w:rsidRPr="00E32439">
      <w:rPr>
        <w:rFonts w:ascii="Arial" w:hAnsi="Arial" w:cs="Arial"/>
        <w:b/>
        <w:sz w:val="48"/>
        <w:lang w:val="et"/>
      </w:rPr>
      <w:tab/>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24534" w14:textId="77777777" w:rsidR="00E32439" w:rsidRPr="00E32439" w:rsidRDefault="00E32439" w:rsidP="00E32439">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91EAE" w14:textId="77777777" w:rsidR="0047779C" w:rsidRDefault="009072DA" w:rsidP="00E07FCF">
      <w:pPr>
        <w:spacing w:before="0" w:after="0"/>
      </w:pPr>
      <w:r>
        <w:separator/>
      </w:r>
    </w:p>
  </w:footnote>
  <w:footnote w:type="continuationSeparator" w:id="0">
    <w:p w14:paraId="7DC8813B" w14:textId="77777777" w:rsidR="0047779C" w:rsidRDefault="009072DA" w:rsidP="00E07FCF">
      <w:pPr>
        <w:spacing w:before="0" w:after="0"/>
      </w:pPr>
      <w:r>
        <w:continuationSeparator/>
      </w:r>
    </w:p>
  </w:footnote>
  <w:footnote w:type="continuationNotice" w:id="1">
    <w:p w14:paraId="387AA508" w14:textId="77777777" w:rsidR="0047779C" w:rsidRDefault="0047779C">
      <w:pPr>
        <w:spacing w:before="0" w:after="0"/>
      </w:pPr>
    </w:p>
  </w:footnote>
  <w:footnote w:id="2">
    <w:p w14:paraId="2686E61F" w14:textId="5A44C746" w:rsidR="00462383" w:rsidRPr="00462383" w:rsidRDefault="009072DA">
      <w:pPr>
        <w:pStyle w:val="FootnoteText"/>
        <w:rPr>
          <w:lang w:val="fi-FI"/>
        </w:rPr>
      </w:pPr>
      <w:r>
        <w:rPr>
          <w:rStyle w:val="FootnoteReference"/>
        </w:rPr>
        <w:footnoteRef/>
      </w:r>
      <w:r>
        <w:rPr>
          <w:lang w:val="et"/>
        </w:rPr>
        <w:t xml:space="preserve"> https://www.nh-cap.com/wp-content/uploads/2024/11/Northern-Horizon-Group-Responsible-Investment-Policy.HEAKSKIIDETUD.12.11.2024.pdf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BCE4" w14:textId="77777777" w:rsidR="00E32439" w:rsidRPr="00E32439" w:rsidRDefault="00E32439" w:rsidP="00E32439">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0B6CB" w14:textId="77777777" w:rsidR="00E32439" w:rsidRPr="00E32439" w:rsidRDefault="00E32439" w:rsidP="00E32439">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83617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13A1CC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4841E1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0EE0C2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2203DA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7AA1CF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2DA1FC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126EB6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E5078C"/>
    <w:multiLevelType w:val="hybridMultilevel"/>
    <w:tmpl w:val="D53853DA"/>
    <w:lvl w:ilvl="0" w:tplc="B1BE7BCC">
      <w:start w:val="1"/>
      <w:numFmt w:val="bullet"/>
      <w:pStyle w:val="List"/>
      <w:lvlText w:val=""/>
      <w:lvlJc w:val="left"/>
      <w:pPr>
        <w:tabs>
          <w:tab w:val="num" w:pos="680"/>
        </w:tabs>
        <w:ind w:left="680" w:hanging="680"/>
      </w:pPr>
      <w:rPr>
        <w:rFonts w:ascii="Wingdings" w:hAnsi="Wingdings" w:hint="default"/>
      </w:rPr>
    </w:lvl>
    <w:lvl w:ilvl="1" w:tplc="C3761D8C" w:tentative="1">
      <w:start w:val="1"/>
      <w:numFmt w:val="bullet"/>
      <w:lvlText w:val="o"/>
      <w:lvlJc w:val="left"/>
      <w:pPr>
        <w:ind w:left="1440" w:hanging="360"/>
      </w:pPr>
      <w:rPr>
        <w:rFonts w:ascii="Courier New" w:hAnsi="Courier New" w:hint="default"/>
      </w:rPr>
    </w:lvl>
    <w:lvl w:ilvl="2" w:tplc="DCBE1008" w:tentative="1">
      <w:start w:val="1"/>
      <w:numFmt w:val="bullet"/>
      <w:lvlText w:val=""/>
      <w:lvlJc w:val="left"/>
      <w:pPr>
        <w:ind w:left="2160" w:hanging="360"/>
      </w:pPr>
      <w:rPr>
        <w:rFonts w:ascii="Wingdings" w:hAnsi="Wingdings" w:hint="default"/>
      </w:rPr>
    </w:lvl>
    <w:lvl w:ilvl="3" w:tplc="5400D3F8" w:tentative="1">
      <w:start w:val="1"/>
      <w:numFmt w:val="bullet"/>
      <w:lvlText w:val=""/>
      <w:lvlJc w:val="left"/>
      <w:pPr>
        <w:ind w:left="2880" w:hanging="360"/>
      </w:pPr>
      <w:rPr>
        <w:rFonts w:ascii="Symbol" w:hAnsi="Symbol" w:hint="default"/>
      </w:rPr>
    </w:lvl>
    <w:lvl w:ilvl="4" w:tplc="8AEADC80" w:tentative="1">
      <w:start w:val="1"/>
      <w:numFmt w:val="bullet"/>
      <w:lvlText w:val="o"/>
      <w:lvlJc w:val="left"/>
      <w:pPr>
        <w:ind w:left="3600" w:hanging="360"/>
      </w:pPr>
      <w:rPr>
        <w:rFonts w:ascii="Courier New" w:hAnsi="Courier New" w:hint="default"/>
      </w:rPr>
    </w:lvl>
    <w:lvl w:ilvl="5" w:tplc="C298E84A" w:tentative="1">
      <w:start w:val="1"/>
      <w:numFmt w:val="bullet"/>
      <w:lvlText w:val=""/>
      <w:lvlJc w:val="left"/>
      <w:pPr>
        <w:ind w:left="4320" w:hanging="360"/>
      </w:pPr>
      <w:rPr>
        <w:rFonts w:ascii="Wingdings" w:hAnsi="Wingdings" w:hint="default"/>
      </w:rPr>
    </w:lvl>
    <w:lvl w:ilvl="6" w:tplc="0DBEB526" w:tentative="1">
      <w:start w:val="1"/>
      <w:numFmt w:val="bullet"/>
      <w:lvlText w:val=""/>
      <w:lvlJc w:val="left"/>
      <w:pPr>
        <w:ind w:left="5040" w:hanging="360"/>
      </w:pPr>
      <w:rPr>
        <w:rFonts w:ascii="Symbol" w:hAnsi="Symbol" w:hint="default"/>
      </w:rPr>
    </w:lvl>
    <w:lvl w:ilvl="7" w:tplc="E5FA363C" w:tentative="1">
      <w:start w:val="1"/>
      <w:numFmt w:val="bullet"/>
      <w:lvlText w:val="o"/>
      <w:lvlJc w:val="left"/>
      <w:pPr>
        <w:ind w:left="5760" w:hanging="360"/>
      </w:pPr>
      <w:rPr>
        <w:rFonts w:ascii="Courier New" w:hAnsi="Courier New" w:hint="default"/>
      </w:rPr>
    </w:lvl>
    <w:lvl w:ilvl="8" w:tplc="037269FE" w:tentative="1">
      <w:start w:val="1"/>
      <w:numFmt w:val="bullet"/>
      <w:lvlText w:val=""/>
      <w:lvlJc w:val="left"/>
      <w:pPr>
        <w:ind w:left="6480" w:hanging="360"/>
      </w:pPr>
      <w:rPr>
        <w:rFonts w:ascii="Wingdings" w:hAnsi="Wingdings" w:hint="default"/>
      </w:rPr>
    </w:lvl>
  </w:abstractNum>
  <w:abstractNum w:abstractNumId="9"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3" w15:restartNumberingAfterBreak="0">
    <w:nsid w:val="33660B93"/>
    <w:multiLevelType w:val="hybridMultilevel"/>
    <w:tmpl w:val="EFB45C40"/>
    <w:lvl w:ilvl="0" w:tplc="C3841020">
      <w:start w:val="1"/>
      <w:numFmt w:val="decimal"/>
      <w:lvlText w:val="%1."/>
      <w:lvlJc w:val="left"/>
      <w:pPr>
        <w:ind w:left="720" w:hanging="360"/>
      </w:pPr>
      <w:rPr>
        <w:b w:val="0"/>
      </w:rPr>
    </w:lvl>
    <w:lvl w:ilvl="1" w:tplc="172659F6">
      <w:start w:val="1"/>
      <w:numFmt w:val="lowerLetter"/>
      <w:lvlText w:val="%2."/>
      <w:lvlJc w:val="left"/>
      <w:pPr>
        <w:ind w:left="1440" w:hanging="360"/>
      </w:pPr>
    </w:lvl>
    <w:lvl w:ilvl="2" w:tplc="B714316C">
      <w:start w:val="1"/>
      <w:numFmt w:val="lowerRoman"/>
      <w:lvlText w:val="%3."/>
      <w:lvlJc w:val="right"/>
      <w:pPr>
        <w:ind w:left="2160" w:hanging="180"/>
      </w:pPr>
    </w:lvl>
    <w:lvl w:ilvl="3" w:tplc="61E2909C">
      <w:start w:val="1"/>
      <w:numFmt w:val="decimal"/>
      <w:lvlText w:val="%4."/>
      <w:lvlJc w:val="left"/>
      <w:pPr>
        <w:ind w:left="2880" w:hanging="360"/>
      </w:pPr>
    </w:lvl>
    <w:lvl w:ilvl="4" w:tplc="527A82E0">
      <w:start w:val="1"/>
      <w:numFmt w:val="lowerLetter"/>
      <w:lvlText w:val="%5."/>
      <w:lvlJc w:val="left"/>
      <w:pPr>
        <w:ind w:left="3600" w:hanging="360"/>
      </w:pPr>
    </w:lvl>
    <w:lvl w:ilvl="5" w:tplc="55F8A616">
      <w:start w:val="1"/>
      <w:numFmt w:val="lowerRoman"/>
      <w:lvlText w:val="%6."/>
      <w:lvlJc w:val="right"/>
      <w:pPr>
        <w:ind w:left="4320" w:hanging="180"/>
      </w:pPr>
    </w:lvl>
    <w:lvl w:ilvl="6" w:tplc="0FAE0392">
      <w:start w:val="1"/>
      <w:numFmt w:val="decimal"/>
      <w:lvlText w:val="%7."/>
      <w:lvlJc w:val="left"/>
      <w:pPr>
        <w:ind w:left="5040" w:hanging="360"/>
      </w:pPr>
    </w:lvl>
    <w:lvl w:ilvl="7" w:tplc="7B8AE532">
      <w:start w:val="1"/>
      <w:numFmt w:val="lowerLetter"/>
      <w:lvlText w:val="%8."/>
      <w:lvlJc w:val="left"/>
      <w:pPr>
        <w:ind w:left="5760" w:hanging="360"/>
      </w:pPr>
    </w:lvl>
    <w:lvl w:ilvl="8" w:tplc="2ECC9B7E">
      <w:start w:val="1"/>
      <w:numFmt w:val="lowerRoman"/>
      <w:lvlText w:val="%9."/>
      <w:lvlJc w:val="right"/>
      <w:pPr>
        <w:ind w:left="6480" w:hanging="180"/>
      </w:pPr>
    </w:lvl>
  </w:abstractNum>
  <w:abstractNum w:abstractNumId="14" w15:restartNumberingAfterBreak="0">
    <w:nsid w:val="39F81F83"/>
    <w:multiLevelType w:val="hybridMultilevel"/>
    <w:tmpl w:val="972633C6"/>
    <w:lvl w:ilvl="0" w:tplc="DB12DAD6">
      <w:start w:val="1"/>
      <w:numFmt w:val="decimal"/>
      <w:lvlText w:val="%1."/>
      <w:lvlJc w:val="left"/>
      <w:pPr>
        <w:ind w:left="720" w:hanging="360"/>
      </w:pPr>
      <w:rPr>
        <w:b w:val="0"/>
      </w:rPr>
    </w:lvl>
    <w:lvl w:ilvl="1" w:tplc="C8CCB34A">
      <w:start w:val="1"/>
      <w:numFmt w:val="lowerLetter"/>
      <w:lvlText w:val="%2."/>
      <w:lvlJc w:val="left"/>
      <w:pPr>
        <w:ind w:left="1440" w:hanging="360"/>
      </w:pPr>
    </w:lvl>
    <w:lvl w:ilvl="2" w:tplc="D60C2384">
      <w:start w:val="1"/>
      <w:numFmt w:val="lowerRoman"/>
      <w:lvlText w:val="%3."/>
      <w:lvlJc w:val="right"/>
      <w:pPr>
        <w:ind w:left="2160" w:hanging="180"/>
      </w:pPr>
    </w:lvl>
    <w:lvl w:ilvl="3" w:tplc="E61C5EFC">
      <w:start w:val="1"/>
      <w:numFmt w:val="decimal"/>
      <w:lvlText w:val="%4."/>
      <w:lvlJc w:val="left"/>
      <w:pPr>
        <w:ind w:left="2880" w:hanging="360"/>
      </w:pPr>
    </w:lvl>
    <w:lvl w:ilvl="4" w:tplc="6B08A9F4">
      <w:start w:val="1"/>
      <w:numFmt w:val="lowerLetter"/>
      <w:lvlText w:val="%5."/>
      <w:lvlJc w:val="left"/>
      <w:pPr>
        <w:ind w:left="3600" w:hanging="360"/>
      </w:pPr>
    </w:lvl>
    <w:lvl w:ilvl="5" w:tplc="8DFC9096">
      <w:start w:val="1"/>
      <w:numFmt w:val="lowerRoman"/>
      <w:lvlText w:val="%6."/>
      <w:lvlJc w:val="right"/>
      <w:pPr>
        <w:ind w:left="4320" w:hanging="180"/>
      </w:pPr>
    </w:lvl>
    <w:lvl w:ilvl="6" w:tplc="4274E996">
      <w:start w:val="1"/>
      <w:numFmt w:val="decimal"/>
      <w:lvlText w:val="%7."/>
      <w:lvlJc w:val="left"/>
      <w:pPr>
        <w:ind w:left="5040" w:hanging="360"/>
      </w:pPr>
    </w:lvl>
    <w:lvl w:ilvl="7" w:tplc="A2E00AB4">
      <w:start w:val="1"/>
      <w:numFmt w:val="lowerLetter"/>
      <w:lvlText w:val="%8."/>
      <w:lvlJc w:val="left"/>
      <w:pPr>
        <w:ind w:left="5760" w:hanging="360"/>
      </w:pPr>
    </w:lvl>
    <w:lvl w:ilvl="8" w:tplc="1A66078C">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9"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3" w15:restartNumberingAfterBreak="0">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5" w15:restartNumberingAfterBreak="0">
    <w:nsid w:val="6CB10A63"/>
    <w:multiLevelType w:val="hybridMultilevel"/>
    <w:tmpl w:val="EFB45C40"/>
    <w:lvl w:ilvl="0" w:tplc="76AC2B58">
      <w:start w:val="1"/>
      <w:numFmt w:val="decimal"/>
      <w:lvlText w:val="%1."/>
      <w:lvlJc w:val="left"/>
      <w:pPr>
        <w:ind w:left="720" w:hanging="360"/>
      </w:pPr>
      <w:rPr>
        <w:b w:val="0"/>
      </w:rPr>
    </w:lvl>
    <w:lvl w:ilvl="1" w:tplc="396EAFA8">
      <w:start w:val="1"/>
      <w:numFmt w:val="lowerLetter"/>
      <w:lvlText w:val="%2."/>
      <w:lvlJc w:val="left"/>
      <w:pPr>
        <w:ind w:left="1440" w:hanging="360"/>
      </w:pPr>
    </w:lvl>
    <w:lvl w:ilvl="2" w:tplc="7194AB5A">
      <w:start w:val="1"/>
      <w:numFmt w:val="lowerRoman"/>
      <w:lvlText w:val="%3."/>
      <w:lvlJc w:val="right"/>
      <w:pPr>
        <w:ind w:left="2160" w:hanging="180"/>
      </w:pPr>
    </w:lvl>
    <w:lvl w:ilvl="3" w:tplc="12A25202">
      <w:start w:val="1"/>
      <w:numFmt w:val="decimal"/>
      <w:lvlText w:val="%4."/>
      <w:lvlJc w:val="left"/>
      <w:pPr>
        <w:ind w:left="2880" w:hanging="360"/>
      </w:pPr>
    </w:lvl>
    <w:lvl w:ilvl="4" w:tplc="7DDE4376">
      <w:start w:val="1"/>
      <w:numFmt w:val="lowerLetter"/>
      <w:lvlText w:val="%5."/>
      <w:lvlJc w:val="left"/>
      <w:pPr>
        <w:ind w:left="3600" w:hanging="360"/>
      </w:pPr>
    </w:lvl>
    <w:lvl w:ilvl="5" w:tplc="8006EBEE">
      <w:start w:val="1"/>
      <w:numFmt w:val="lowerRoman"/>
      <w:lvlText w:val="%6."/>
      <w:lvlJc w:val="right"/>
      <w:pPr>
        <w:ind w:left="4320" w:hanging="180"/>
      </w:pPr>
    </w:lvl>
    <w:lvl w:ilvl="6" w:tplc="8696C786">
      <w:start w:val="1"/>
      <w:numFmt w:val="decimal"/>
      <w:lvlText w:val="%7."/>
      <w:lvlJc w:val="left"/>
      <w:pPr>
        <w:ind w:left="5040" w:hanging="360"/>
      </w:pPr>
    </w:lvl>
    <w:lvl w:ilvl="7" w:tplc="F4143178">
      <w:start w:val="1"/>
      <w:numFmt w:val="lowerLetter"/>
      <w:lvlText w:val="%8."/>
      <w:lvlJc w:val="left"/>
      <w:pPr>
        <w:ind w:left="5760" w:hanging="360"/>
      </w:pPr>
    </w:lvl>
    <w:lvl w:ilvl="8" w:tplc="4AD4319A">
      <w:start w:val="1"/>
      <w:numFmt w:val="lowerRoman"/>
      <w:lvlText w:val="%9."/>
      <w:lvlJc w:val="right"/>
      <w:pPr>
        <w:ind w:left="6480" w:hanging="180"/>
      </w:pPr>
    </w:lvl>
  </w:abstractNum>
  <w:abstractNum w:abstractNumId="26" w15:restartNumberingAfterBreak="0">
    <w:nsid w:val="79F27C01"/>
    <w:multiLevelType w:val="multilevel"/>
    <w:tmpl w:val="F72A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16cid:durableId="120541743">
    <w:abstractNumId w:val="8"/>
  </w:num>
  <w:num w:numId="2" w16cid:durableId="1436754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26546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3294228">
    <w:abstractNumId w:val="14"/>
  </w:num>
  <w:num w:numId="5" w16cid:durableId="7809929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7131740">
    <w:abstractNumId w:val="7"/>
  </w:num>
  <w:num w:numId="7" w16cid:durableId="1746881614">
    <w:abstractNumId w:val="5"/>
  </w:num>
  <w:num w:numId="8" w16cid:durableId="548105338">
    <w:abstractNumId w:val="4"/>
  </w:num>
  <w:num w:numId="9" w16cid:durableId="609092486">
    <w:abstractNumId w:val="3"/>
  </w:num>
  <w:num w:numId="10" w16cid:durableId="1099983419">
    <w:abstractNumId w:val="6"/>
  </w:num>
  <w:num w:numId="11" w16cid:durableId="362632645">
    <w:abstractNumId w:val="2"/>
  </w:num>
  <w:num w:numId="12" w16cid:durableId="936520857">
    <w:abstractNumId w:val="1"/>
  </w:num>
  <w:num w:numId="13" w16cid:durableId="24214221">
    <w:abstractNumId w:val="0"/>
  </w:num>
  <w:num w:numId="14" w16cid:durableId="11529137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4004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844448">
    <w:abstractNumId w:val="22"/>
  </w:num>
  <w:num w:numId="17" w16cid:durableId="770900880">
    <w:abstractNumId w:val="15"/>
  </w:num>
  <w:num w:numId="18" w16cid:durableId="758907951">
    <w:abstractNumId w:val="24"/>
  </w:num>
  <w:num w:numId="19" w16cid:durableId="616721373">
    <w:abstractNumId w:val="12"/>
  </w:num>
  <w:num w:numId="20" w16cid:durableId="139927277">
    <w:abstractNumId w:val="16"/>
  </w:num>
  <w:num w:numId="21" w16cid:durableId="88625430">
    <w:abstractNumId w:val="17"/>
  </w:num>
  <w:num w:numId="22" w16cid:durableId="267012194">
    <w:abstractNumId w:val="10"/>
  </w:num>
  <w:num w:numId="23" w16cid:durableId="2051295735">
    <w:abstractNumId w:val="23"/>
  </w:num>
  <w:num w:numId="24" w16cid:durableId="326713832">
    <w:abstractNumId w:val="9"/>
  </w:num>
  <w:num w:numId="25" w16cid:durableId="101926672">
    <w:abstractNumId w:val="18"/>
  </w:num>
  <w:num w:numId="26" w16cid:durableId="1913083083">
    <w:abstractNumId w:val="20"/>
  </w:num>
  <w:num w:numId="27" w16cid:durableId="925576745">
    <w:abstractNumId w:val="21"/>
  </w:num>
  <w:num w:numId="28" w16cid:durableId="240676764">
    <w:abstractNumId w:val="11"/>
  </w:num>
  <w:num w:numId="29" w16cid:durableId="1461074882">
    <w:abstractNumId w:val="19"/>
  </w:num>
  <w:num w:numId="30" w16cid:durableId="731659947">
    <w:abstractNumId w:val="27"/>
  </w:num>
  <w:num w:numId="31" w16cid:durableId="1956907715">
    <w:abstractNumId w:val="22"/>
  </w:num>
  <w:num w:numId="32" w16cid:durableId="135925575">
    <w:abstractNumId w:val="15"/>
  </w:num>
  <w:num w:numId="33" w16cid:durableId="1717239825">
    <w:abstractNumId w:val="24"/>
  </w:num>
  <w:num w:numId="34" w16cid:durableId="1889294076">
    <w:abstractNumId w:val="12"/>
  </w:num>
  <w:num w:numId="35" w16cid:durableId="1559513963">
    <w:abstractNumId w:val="16"/>
  </w:num>
  <w:num w:numId="36" w16cid:durableId="253899257">
    <w:abstractNumId w:val="17"/>
  </w:num>
  <w:num w:numId="37" w16cid:durableId="1308196124">
    <w:abstractNumId w:val="10"/>
  </w:num>
  <w:num w:numId="38" w16cid:durableId="1359546372">
    <w:abstractNumId w:val="23"/>
  </w:num>
  <w:num w:numId="39" w16cid:durableId="383329775">
    <w:abstractNumId w:val="9"/>
  </w:num>
  <w:num w:numId="40" w16cid:durableId="177471631">
    <w:abstractNumId w:val="18"/>
  </w:num>
  <w:num w:numId="41" w16cid:durableId="1637294371">
    <w:abstractNumId w:val="20"/>
  </w:num>
  <w:num w:numId="42" w16cid:durableId="1152718748">
    <w:abstractNumId w:val="21"/>
  </w:num>
  <w:num w:numId="43" w16cid:durableId="1187476514">
    <w:abstractNumId w:val="11"/>
  </w:num>
  <w:num w:numId="44" w16cid:durableId="380597904">
    <w:abstractNumId w:val="19"/>
  </w:num>
  <w:num w:numId="45" w16cid:durableId="1012688863">
    <w:abstractNumId w:val="27"/>
  </w:num>
  <w:num w:numId="46" w16cid:durableId="1899969793">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R_RefLast" w:val="0"/>
    <w:docVar w:name="DQCDateTime" w:val="2022-04-04 11:11:3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ACCOMPAGNANT" w:val="to the "/>
    <w:docVar w:name="LW_ACCOMPAGNANT.CP" w:val="to the "/>
    <w:docVar w:name="LW_ANNEX_NBR_FIRST" w:val="1"/>
    <w:docVar w:name="LW_ANNEX_NBR_LAST" w:val="1"/>
    <w:docVar w:name="LW_ANNEX_UNIQUE" w:val="0"/>
    <w:docVar w:name="LW_CORRIGENDUM" w:val="&lt;UNUSED&gt;"/>
    <w:docVar w:name="LW_COVERPAGE_EXISTS" w:val="True"/>
    <w:docVar w:name="LW_COVERPAGE_GUID" w:val="E682DF20-CB6D-4231-80B9-59E2262CED28"/>
    <w:docVar w:name="LW_COVERPAGE_TYPE" w:val="1"/>
    <w:docVar w:name="LW_CROSSREFERENCE" w:val="&lt;UNUSED&gt;"/>
    <w:docVar w:name="LW_DocType" w:val="ANNEX"/>
    <w:docVar w:name="LW_EMISSION" w:val="6.4.2022"/>
    <w:docVar w:name="LW_EMISSION_ISODATE" w:val="2022-04-06"/>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lt;FMT:Bold&gt;supplementing Regulation (EU) 2019/2088 of the European Parliament and of the Council with regard to regulatory technical standards specifying the details of the content and presentation of the information in relation to the principle of \u8216?do no significant harm\u8217?, specifying the content, methodologies and presentation of information in relation to sustainability indicators and adverse sustainability impacts,  and the content and presentation of the information in relation to the promotion of environmental or social characteristics and sustainable investment objectives in pre-contractual documents, on websites and in periodic reports&lt;/FMT&gt;_x000d__x000b_"/>
    <w:docVar w:name="LW_OBJETACTEPRINCIPAL.CP" w:val="&lt;FMT:Bold&gt;supplementing Regulation (EU) 2019/2088 of the European Parliament and of the Council with regard to regulatory technical standards specifying the details of the content and presentation of the information in relation to the principle of ‘do no significant harm’, specifying the content, methodologies and presentation of information in relation to sustainability indicators and adverse sustainability impacts,  and the content and presentation of the information in relation to the promotion of environmental or social characteristics and sustainable investment objectives in pre-contractual documents, on websites and in periodic reports&lt;/FMT&gt;_x000d__x000b_"/>
    <w:docVar w:name="LW_PART_NBR" w:val="1"/>
    <w:docVar w:name="LW_PART_NBR_TOTAL" w:val="1"/>
    <w:docVar w:name="LW_REF.INST.NEW" w:val="C"/>
    <w:docVar w:name="LW_REF.INST.NEW_ADOPTED" w:val="final"/>
    <w:docVar w:name="LW_REF.INST.NEW_TEXT" w:val="(2022) 19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mmission Delegated Regulation (EU) .../..."/>
    <w:docVar w:name="LW_TYPEACTEPRINCIPAL.CP" w:val="Commission Delegated Regulation (EU) .../..."/>
    <w:docVar w:name="LwApiVersions" w:val="LW4CoDe 1.23.2.0; LW 8.0, Build 20211117"/>
  </w:docVars>
  <w:rsids>
    <w:rsidRoot w:val="00E07FCF"/>
    <w:rsid w:val="000056B6"/>
    <w:rsid w:val="00010690"/>
    <w:rsid w:val="000107E6"/>
    <w:rsid w:val="00012181"/>
    <w:rsid w:val="00014277"/>
    <w:rsid w:val="0001685F"/>
    <w:rsid w:val="000169E7"/>
    <w:rsid w:val="00023432"/>
    <w:rsid w:val="00030890"/>
    <w:rsid w:val="000320FD"/>
    <w:rsid w:val="00042C01"/>
    <w:rsid w:val="00045DE1"/>
    <w:rsid w:val="00050D52"/>
    <w:rsid w:val="0005348F"/>
    <w:rsid w:val="000543DE"/>
    <w:rsid w:val="00061702"/>
    <w:rsid w:val="0006437C"/>
    <w:rsid w:val="000662B4"/>
    <w:rsid w:val="00070927"/>
    <w:rsid w:val="0008046B"/>
    <w:rsid w:val="00085754"/>
    <w:rsid w:val="00087C45"/>
    <w:rsid w:val="00090836"/>
    <w:rsid w:val="00090BD2"/>
    <w:rsid w:val="000912D0"/>
    <w:rsid w:val="000917B2"/>
    <w:rsid w:val="00096D32"/>
    <w:rsid w:val="000A3E7A"/>
    <w:rsid w:val="000B69BC"/>
    <w:rsid w:val="000C0C90"/>
    <w:rsid w:val="000C227C"/>
    <w:rsid w:val="000C4A3B"/>
    <w:rsid w:val="000D3C1F"/>
    <w:rsid w:val="000D70F8"/>
    <w:rsid w:val="000E198E"/>
    <w:rsid w:val="000E39F8"/>
    <w:rsid w:val="000E3ED7"/>
    <w:rsid w:val="000E4AE8"/>
    <w:rsid w:val="000E64C6"/>
    <w:rsid w:val="000E6C63"/>
    <w:rsid w:val="000F06FA"/>
    <w:rsid w:val="000F1A12"/>
    <w:rsid w:val="000F5126"/>
    <w:rsid w:val="000F67A8"/>
    <w:rsid w:val="00112E17"/>
    <w:rsid w:val="0011373F"/>
    <w:rsid w:val="0012216F"/>
    <w:rsid w:val="00124FC6"/>
    <w:rsid w:val="001308D2"/>
    <w:rsid w:val="00134471"/>
    <w:rsid w:val="001548DE"/>
    <w:rsid w:val="00154E2F"/>
    <w:rsid w:val="00155617"/>
    <w:rsid w:val="00155ABA"/>
    <w:rsid w:val="00162B36"/>
    <w:rsid w:val="00171D0B"/>
    <w:rsid w:val="00176324"/>
    <w:rsid w:val="001764D7"/>
    <w:rsid w:val="0019226F"/>
    <w:rsid w:val="00193220"/>
    <w:rsid w:val="001A2302"/>
    <w:rsid w:val="001A7D2B"/>
    <w:rsid w:val="001C0CC6"/>
    <w:rsid w:val="001C1C9E"/>
    <w:rsid w:val="001C2816"/>
    <w:rsid w:val="001C34DD"/>
    <w:rsid w:val="001C669C"/>
    <w:rsid w:val="001D3001"/>
    <w:rsid w:val="001D39A4"/>
    <w:rsid w:val="001D56F7"/>
    <w:rsid w:val="001D6F25"/>
    <w:rsid w:val="001E059F"/>
    <w:rsid w:val="001E3543"/>
    <w:rsid w:val="002011A5"/>
    <w:rsid w:val="002047F4"/>
    <w:rsid w:val="002074AA"/>
    <w:rsid w:val="00211E78"/>
    <w:rsid w:val="00212880"/>
    <w:rsid w:val="00212A38"/>
    <w:rsid w:val="00212A70"/>
    <w:rsid w:val="002172DA"/>
    <w:rsid w:val="00221A48"/>
    <w:rsid w:val="00221FF8"/>
    <w:rsid w:val="00224823"/>
    <w:rsid w:val="00233926"/>
    <w:rsid w:val="00233979"/>
    <w:rsid w:val="00237C9D"/>
    <w:rsid w:val="00244954"/>
    <w:rsid w:val="00247BE2"/>
    <w:rsid w:val="0026380C"/>
    <w:rsid w:val="00263965"/>
    <w:rsid w:val="00264F7E"/>
    <w:rsid w:val="0027088E"/>
    <w:rsid w:val="00273CD4"/>
    <w:rsid w:val="00284303"/>
    <w:rsid w:val="00285646"/>
    <w:rsid w:val="00286D0C"/>
    <w:rsid w:val="00295D6D"/>
    <w:rsid w:val="002A769E"/>
    <w:rsid w:val="002C2DCC"/>
    <w:rsid w:val="002D3032"/>
    <w:rsid w:val="002E06F6"/>
    <w:rsid w:val="002E460D"/>
    <w:rsid w:val="002F4520"/>
    <w:rsid w:val="002F7794"/>
    <w:rsid w:val="00303928"/>
    <w:rsid w:val="00307D10"/>
    <w:rsid w:val="003104F0"/>
    <w:rsid w:val="003214F4"/>
    <w:rsid w:val="003278B1"/>
    <w:rsid w:val="00330DD3"/>
    <w:rsid w:val="00332B47"/>
    <w:rsid w:val="00337228"/>
    <w:rsid w:val="0034053D"/>
    <w:rsid w:val="003424E1"/>
    <w:rsid w:val="00352547"/>
    <w:rsid w:val="003528ED"/>
    <w:rsid w:val="0035292E"/>
    <w:rsid w:val="00352C75"/>
    <w:rsid w:val="00356CAB"/>
    <w:rsid w:val="00357BF9"/>
    <w:rsid w:val="003676C5"/>
    <w:rsid w:val="00377ABB"/>
    <w:rsid w:val="0038229D"/>
    <w:rsid w:val="003866B5"/>
    <w:rsid w:val="0038744E"/>
    <w:rsid w:val="003875D3"/>
    <w:rsid w:val="00397628"/>
    <w:rsid w:val="003A148D"/>
    <w:rsid w:val="003A34B6"/>
    <w:rsid w:val="003B1DDB"/>
    <w:rsid w:val="003B21B9"/>
    <w:rsid w:val="003B53AF"/>
    <w:rsid w:val="003B61D7"/>
    <w:rsid w:val="003B64EE"/>
    <w:rsid w:val="003C0BDB"/>
    <w:rsid w:val="003C2880"/>
    <w:rsid w:val="003C3598"/>
    <w:rsid w:val="003E1DBE"/>
    <w:rsid w:val="003E6975"/>
    <w:rsid w:val="003E73FB"/>
    <w:rsid w:val="003F1D3A"/>
    <w:rsid w:val="00401505"/>
    <w:rsid w:val="00405D30"/>
    <w:rsid w:val="004113D8"/>
    <w:rsid w:val="004116D0"/>
    <w:rsid w:val="00414EB4"/>
    <w:rsid w:val="00416CB7"/>
    <w:rsid w:val="0043257E"/>
    <w:rsid w:val="00432E3B"/>
    <w:rsid w:val="00437F58"/>
    <w:rsid w:val="00440DB8"/>
    <w:rsid w:val="00451E8D"/>
    <w:rsid w:val="00462383"/>
    <w:rsid w:val="00476CFA"/>
    <w:rsid w:val="004772E2"/>
    <w:rsid w:val="0047779C"/>
    <w:rsid w:val="00477C34"/>
    <w:rsid w:val="00485767"/>
    <w:rsid w:val="00491A92"/>
    <w:rsid w:val="004936D2"/>
    <w:rsid w:val="00493AE0"/>
    <w:rsid w:val="00494DC2"/>
    <w:rsid w:val="00496DC1"/>
    <w:rsid w:val="004A1E94"/>
    <w:rsid w:val="004A3668"/>
    <w:rsid w:val="004A37B5"/>
    <w:rsid w:val="004A5846"/>
    <w:rsid w:val="004B04AF"/>
    <w:rsid w:val="004D1EB0"/>
    <w:rsid w:val="004D266A"/>
    <w:rsid w:val="004D2B7B"/>
    <w:rsid w:val="004D6139"/>
    <w:rsid w:val="004E0528"/>
    <w:rsid w:val="004E736C"/>
    <w:rsid w:val="004F19C8"/>
    <w:rsid w:val="004F5BF1"/>
    <w:rsid w:val="00510DFC"/>
    <w:rsid w:val="00516E7D"/>
    <w:rsid w:val="0052681F"/>
    <w:rsid w:val="005277D1"/>
    <w:rsid w:val="00534678"/>
    <w:rsid w:val="0053468C"/>
    <w:rsid w:val="0054290F"/>
    <w:rsid w:val="00544FD1"/>
    <w:rsid w:val="005501ED"/>
    <w:rsid w:val="005534FB"/>
    <w:rsid w:val="005603F6"/>
    <w:rsid w:val="00562B66"/>
    <w:rsid w:val="005669D7"/>
    <w:rsid w:val="00567679"/>
    <w:rsid w:val="00572AFA"/>
    <w:rsid w:val="0058258F"/>
    <w:rsid w:val="00582E6E"/>
    <w:rsid w:val="0058499D"/>
    <w:rsid w:val="00586ED8"/>
    <w:rsid w:val="00595E0D"/>
    <w:rsid w:val="0059605D"/>
    <w:rsid w:val="005A0004"/>
    <w:rsid w:val="005A04B5"/>
    <w:rsid w:val="005B053F"/>
    <w:rsid w:val="005B2759"/>
    <w:rsid w:val="005B60D3"/>
    <w:rsid w:val="005C1A49"/>
    <w:rsid w:val="005C2805"/>
    <w:rsid w:val="005C73D5"/>
    <w:rsid w:val="005D7F3E"/>
    <w:rsid w:val="005E0289"/>
    <w:rsid w:val="005E448B"/>
    <w:rsid w:val="005F60A3"/>
    <w:rsid w:val="00600947"/>
    <w:rsid w:val="00602B7D"/>
    <w:rsid w:val="006041E8"/>
    <w:rsid w:val="00605C61"/>
    <w:rsid w:val="00614247"/>
    <w:rsid w:val="006223C9"/>
    <w:rsid w:val="00622B14"/>
    <w:rsid w:val="00646A10"/>
    <w:rsid w:val="00646A4F"/>
    <w:rsid w:val="00651A3C"/>
    <w:rsid w:val="00651A62"/>
    <w:rsid w:val="00654ABE"/>
    <w:rsid w:val="00657B98"/>
    <w:rsid w:val="006752DE"/>
    <w:rsid w:val="00676765"/>
    <w:rsid w:val="00681CDE"/>
    <w:rsid w:val="00682A47"/>
    <w:rsid w:val="00690B51"/>
    <w:rsid w:val="00692F91"/>
    <w:rsid w:val="00693C5C"/>
    <w:rsid w:val="006A3420"/>
    <w:rsid w:val="006A73D4"/>
    <w:rsid w:val="006C0352"/>
    <w:rsid w:val="006C4B03"/>
    <w:rsid w:val="006C5DB6"/>
    <w:rsid w:val="006C663F"/>
    <w:rsid w:val="006D0A30"/>
    <w:rsid w:val="006D0F76"/>
    <w:rsid w:val="006D53DC"/>
    <w:rsid w:val="006D6147"/>
    <w:rsid w:val="006D67F3"/>
    <w:rsid w:val="006E337C"/>
    <w:rsid w:val="006E5C2B"/>
    <w:rsid w:val="006E7142"/>
    <w:rsid w:val="006F731C"/>
    <w:rsid w:val="007025A3"/>
    <w:rsid w:val="00713EF9"/>
    <w:rsid w:val="00715354"/>
    <w:rsid w:val="00725287"/>
    <w:rsid w:val="00730136"/>
    <w:rsid w:val="00731592"/>
    <w:rsid w:val="00733975"/>
    <w:rsid w:val="00734D95"/>
    <w:rsid w:val="00745BB0"/>
    <w:rsid w:val="00756748"/>
    <w:rsid w:val="00761D40"/>
    <w:rsid w:val="00766912"/>
    <w:rsid w:val="00771ADB"/>
    <w:rsid w:val="00777631"/>
    <w:rsid w:val="007901B3"/>
    <w:rsid w:val="0079130D"/>
    <w:rsid w:val="00793DAA"/>
    <w:rsid w:val="007A2A55"/>
    <w:rsid w:val="007A3835"/>
    <w:rsid w:val="007A38A9"/>
    <w:rsid w:val="007B27E7"/>
    <w:rsid w:val="007B42F2"/>
    <w:rsid w:val="007B59E8"/>
    <w:rsid w:val="007C133D"/>
    <w:rsid w:val="007D190A"/>
    <w:rsid w:val="007D22B5"/>
    <w:rsid w:val="007F2561"/>
    <w:rsid w:val="007F6EF5"/>
    <w:rsid w:val="0080256B"/>
    <w:rsid w:val="00810C04"/>
    <w:rsid w:val="00810EB1"/>
    <w:rsid w:val="00811084"/>
    <w:rsid w:val="0081206E"/>
    <w:rsid w:val="00812620"/>
    <w:rsid w:val="00820679"/>
    <w:rsid w:val="00822F66"/>
    <w:rsid w:val="00825ADA"/>
    <w:rsid w:val="00826B83"/>
    <w:rsid w:val="00827826"/>
    <w:rsid w:val="00833E6B"/>
    <w:rsid w:val="00834B83"/>
    <w:rsid w:val="00836DF6"/>
    <w:rsid w:val="008376D3"/>
    <w:rsid w:val="0084180F"/>
    <w:rsid w:val="00842485"/>
    <w:rsid w:val="0084443B"/>
    <w:rsid w:val="00850149"/>
    <w:rsid w:val="00854894"/>
    <w:rsid w:val="00865500"/>
    <w:rsid w:val="008660C5"/>
    <w:rsid w:val="008662C3"/>
    <w:rsid w:val="00871A7D"/>
    <w:rsid w:val="00874667"/>
    <w:rsid w:val="008748C0"/>
    <w:rsid w:val="00875BC1"/>
    <w:rsid w:val="00882344"/>
    <w:rsid w:val="008824BC"/>
    <w:rsid w:val="008861A7"/>
    <w:rsid w:val="008A2558"/>
    <w:rsid w:val="008A53C6"/>
    <w:rsid w:val="008B20BD"/>
    <w:rsid w:val="008B2DD4"/>
    <w:rsid w:val="008C1110"/>
    <w:rsid w:val="008C4C80"/>
    <w:rsid w:val="008D5723"/>
    <w:rsid w:val="008E5987"/>
    <w:rsid w:val="008E6A91"/>
    <w:rsid w:val="008F12C5"/>
    <w:rsid w:val="008F45AE"/>
    <w:rsid w:val="009011DD"/>
    <w:rsid w:val="0090196F"/>
    <w:rsid w:val="0090664F"/>
    <w:rsid w:val="009072DA"/>
    <w:rsid w:val="00907335"/>
    <w:rsid w:val="00920372"/>
    <w:rsid w:val="0093127B"/>
    <w:rsid w:val="00953AE3"/>
    <w:rsid w:val="0095628F"/>
    <w:rsid w:val="00973F6B"/>
    <w:rsid w:val="00974FF8"/>
    <w:rsid w:val="00982345"/>
    <w:rsid w:val="00984AE5"/>
    <w:rsid w:val="00986B33"/>
    <w:rsid w:val="009870D6"/>
    <w:rsid w:val="009879CC"/>
    <w:rsid w:val="00987AD5"/>
    <w:rsid w:val="0099691D"/>
    <w:rsid w:val="009A1CBC"/>
    <w:rsid w:val="009A3F7E"/>
    <w:rsid w:val="009B5335"/>
    <w:rsid w:val="009C20A0"/>
    <w:rsid w:val="009D4DBA"/>
    <w:rsid w:val="009D5F4B"/>
    <w:rsid w:val="009E06A4"/>
    <w:rsid w:val="009E1075"/>
    <w:rsid w:val="009F196E"/>
    <w:rsid w:val="009F527F"/>
    <w:rsid w:val="009F680E"/>
    <w:rsid w:val="009F748E"/>
    <w:rsid w:val="00A01829"/>
    <w:rsid w:val="00A0572A"/>
    <w:rsid w:val="00A145EF"/>
    <w:rsid w:val="00A20E8D"/>
    <w:rsid w:val="00A23301"/>
    <w:rsid w:val="00A40B51"/>
    <w:rsid w:val="00A42734"/>
    <w:rsid w:val="00A42F11"/>
    <w:rsid w:val="00A50B93"/>
    <w:rsid w:val="00A5255D"/>
    <w:rsid w:val="00A5477D"/>
    <w:rsid w:val="00A5659D"/>
    <w:rsid w:val="00A6012D"/>
    <w:rsid w:val="00A61240"/>
    <w:rsid w:val="00A636D0"/>
    <w:rsid w:val="00A66719"/>
    <w:rsid w:val="00A71AAD"/>
    <w:rsid w:val="00A71D63"/>
    <w:rsid w:val="00AA3251"/>
    <w:rsid w:val="00AB408B"/>
    <w:rsid w:val="00AC367C"/>
    <w:rsid w:val="00AC4AF5"/>
    <w:rsid w:val="00AC7CC8"/>
    <w:rsid w:val="00AD1A91"/>
    <w:rsid w:val="00AD3E41"/>
    <w:rsid w:val="00AD45B4"/>
    <w:rsid w:val="00AE5C20"/>
    <w:rsid w:val="00AE5EC8"/>
    <w:rsid w:val="00AF35EF"/>
    <w:rsid w:val="00AF41B1"/>
    <w:rsid w:val="00AF586A"/>
    <w:rsid w:val="00B00093"/>
    <w:rsid w:val="00B20D9C"/>
    <w:rsid w:val="00B21011"/>
    <w:rsid w:val="00B229B9"/>
    <w:rsid w:val="00B26BE4"/>
    <w:rsid w:val="00B35B5B"/>
    <w:rsid w:val="00B37EE9"/>
    <w:rsid w:val="00B4545E"/>
    <w:rsid w:val="00B477A3"/>
    <w:rsid w:val="00B51C12"/>
    <w:rsid w:val="00B52D01"/>
    <w:rsid w:val="00B541BE"/>
    <w:rsid w:val="00B55028"/>
    <w:rsid w:val="00B602E5"/>
    <w:rsid w:val="00B6344C"/>
    <w:rsid w:val="00B711EC"/>
    <w:rsid w:val="00B85387"/>
    <w:rsid w:val="00B856AB"/>
    <w:rsid w:val="00B91B53"/>
    <w:rsid w:val="00B97B36"/>
    <w:rsid w:val="00BA0086"/>
    <w:rsid w:val="00BA13B9"/>
    <w:rsid w:val="00BA1D58"/>
    <w:rsid w:val="00BA225E"/>
    <w:rsid w:val="00BA73C7"/>
    <w:rsid w:val="00BB0CF3"/>
    <w:rsid w:val="00BC4B36"/>
    <w:rsid w:val="00BC4FC0"/>
    <w:rsid w:val="00BD142E"/>
    <w:rsid w:val="00BF17AA"/>
    <w:rsid w:val="00BF20CF"/>
    <w:rsid w:val="00C06198"/>
    <w:rsid w:val="00C114B1"/>
    <w:rsid w:val="00C22114"/>
    <w:rsid w:val="00C22186"/>
    <w:rsid w:val="00C22F60"/>
    <w:rsid w:val="00C23AD3"/>
    <w:rsid w:val="00C24556"/>
    <w:rsid w:val="00C2615D"/>
    <w:rsid w:val="00C26E23"/>
    <w:rsid w:val="00C27537"/>
    <w:rsid w:val="00C319F4"/>
    <w:rsid w:val="00C34BC2"/>
    <w:rsid w:val="00C37898"/>
    <w:rsid w:val="00C44BF7"/>
    <w:rsid w:val="00C451EC"/>
    <w:rsid w:val="00C533F6"/>
    <w:rsid w:val="00C55635"/>
    <w:rsid w:val="00C649AF"/>
    <w:rsid w:val="00C657CE"/>
    <w:rsid w:val="00C70920"/>
    <w:rsid w:val="00C710FE"/>
    <w:rsid w:val="00C71FB5"/>
    <w:rsid w:val="00C72B03"/>
    <w:rsid w:val="00C72DAD"/>
    <w:rsid w:val="00C74C3B"/>
    <w:rsid w:val="00C77927"/>
    <w:rsid w:val="00C840F3"/>
    <w:rsid w:val="00C850C9"/>
    <w:rsid w:val="00C91095"/>
    <w:rsid w:val="00CA6643"/>
    <w:rsid w:val="00CA72FF"/>
    <w:rsid w:val="00CB3594"/>
    <w:rsid w:val="00CC3841"/>
    <w:rsid w:val="00CD3F95"/>
    <w:rsid w:val="00CF7AFF"/>
    <w:rsid w:val="00D06334"/>
    <w:rsid w:val="00D11EE6"/>
    <w:rsid w:val="00D122D5"/>
    <w:rsid w:val="00D1242C"/>
    <w:rsid w:val="00D207DA"/>
    <w:rsid w:val="00D23BA2"/>
    <w:rsid w:val="00D24635"/>
    <w:rsid w:val="00D31AF2"/>
    <w:rsid w:val="00D33ABF"/>
    <w:rsid w:val="00D37EBA"/>
    <w:rsid w:val="00D42D45"/>
    <w:rsid w:val="00D43741"/>
    <w:rsid w:val="00D4501B"/>
    <w:rsid w:val="00D451C0"/>
    <w:rsid w:val="00D47C3B"/>
    <w:rsid w:val="00D55441"/>
    <w:rsid w:val="00D55DF5"/>
    <w:rsid w:val="00D64D70"/>
    <w:rsid w:val="00D73CF2"/>
    <w:rsid w:val="00D74B72"/>
    <w:rsid w:val="00D74D87"/>
    <w:rsid w:val="00D769E5"/>
    <w:rsid w:val="00D80382"/>
    <w:rsid w:val="00D8151F"/>
    <w:rsid w:val="00D87394"/>
    <w:rsid w:val="00D87EFD"/>
    <w:rsid w:val="00D91166"/>
    <w:rsid w:val="00D911AC"/>
    <w:rsid w:val="00DA0906"/>
    <w:rsid w:val="00DA15BC"/>
    <w:rsid w:val="00DA33BC"/>
    <w:rsid w:val="00DA5FBC"/>
    <w:rsid w:val="00DC35CE"/>
    <w:rsid w:val="00DC7A0D"/>
    <w:rsid w:val="00DD65C3"/>
    <w:rsid w:val="00DE04BE"/>
    <w:rsid w:val="00DE588A"/>
    <w:rsid w:val="00DE6BFE"/>
    <w:rsid w:val="00DF15BC"/>
    <w:rsid w:val="00DF1E8D"/>
    <w:rsid w:val="00DF36D8"/>
    <w:rsid w:val="00DF44BF"/>
    <w:rsid w:val="00DF479A"/>
    <w:rsid w:val="00DF6BB9"/>
    <w:rsid w:val="00DF74A0"/>
    <w:rsid w:val="00E00A81"/>
    <w:rsid w:val="00E07FCF"/>
    <w:rsid w:val="00E128FB"/>
    <w:rsid w:val="00E13FD1"/>
    <w:rsid w:val="00E21A49"/>
    <w:rsid w:val="00E21ED5"/>
    <w:rsid w:val="00E3060B"/>
    <w:rsid w:val="00E31C65"/>
    <w:rsid w:val="00E32439"/>
    <w:rsid w:val="00E337FD"/>
    <w:rsid w:val="00E378A6"/>
    <w:rsid w:val="00E402F9"/>
    <w:rsid w:val="00E45582"/>
    <w:rsid w:val="00E52D38"/>
    <w:rsid w:val="00E5331B"/>
    <w:rsid w:val="00E53DF8"/>
    <w:rsid w:val="00E72E90"/>
    <w:rsid w:val="00E8547C"/>
    <w:rsid w:val="00E871BC"/>
    <w:rsid w:val="00E90359"/>
    <w:rsid w:val="00E92B04"/>
    <w:rsid w:val="00E94C87"/>
    <w:rsid w:val="00E974A0"/>
    <w:rsid w:val="00EA3A89"/>
    <w:rsid w:val="00EC05A9"/>
    <w:rsid w:val="00EC0C64"/>
    <w:rsid w:val="00EC1ACF"/>
    <w:rsid w:val="00EC2022"/>
    <w:rsid w:val="00EC37F9"/>
    <w:rsid w:val="00EC7A63"/>
    <w:rsid w:val="00ED0993"/>
    <w:rsid w:val="00ED2405"/>
    <w:rsid w:val="00ED552D"/>
    <w:rsid w:val="00EE358C"/>
    <w:rsid w:val="00EE362D"/>
    <w:rsid w:val="00EE6587"/>
    <w:rsid w:val="00EF2C17"/>
    <w:rsid w:val="00EF3FF8"/>
    <w:rsid w:val="00EF590D"/>
    <w:rsid w:val="00EF5B11"/>
    <w:rsid w:val="00EF788C"/>
    <w:rsid w:val="00F00647"/>
    <w:rsid w:val="00F010EF"/>
    <w:rsid w:val="00F1251B"/>
    <w:rsid w:val="00F17C5E"/>
    <w:rsid w:val="00F26BC8"/>
    <w:rsid w:val="00F302EB"/>
    <w:rsid w:val="00F31FC9"/>
    <w:rsid w:val="00F344A3"/>
    <w:rsid w:val="00F37444"/>
    <w:rsid w:val="00F43B8E"/>
    <w:rsid w:val="00F44BE5"/>
    <w:rsid w:val="00F468D4"/>
    <w:rsid w:val="00F50DC0"/>
    <w:rsid w:val="00F54826"/>
    <w:rsid w:val="00F62B09"/>
    <w:rsid w:val="00F633C8"/>
    <w:rsid w:val="00F63C18"/>
    <w:rsid w:val="00F732AB"/>
    <w:rsid w:val="00F75A59"/>
    <w:rsid w:val="00F87B58"/>
    <w:rsid w:val="00F95D41"/>
    <w:rsid w:val="00FA51A4"/>
    <w:rsid w:val="00FB3E2F"/>
    <w:rsid w:val="00FC0276"/>
    <w:rsid w:val="00FC1EAF"/>
    <w:rsid w:val="00FE0154"/>
    <w:rsid w:val="00FE505A"/>
    <w:rsid w:val="00FF331C"/>
    <w:rsid w:val="00FF35CE"/>
    <w:rsid w:val="00FF77B3"/>
    <w:rsid w:val="00FF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82E3"/>
  <w15:docId w15:val="{AE07726E-5A9C-4FB0-BA27-A2E0286B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CFA"/>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365AB"/>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E07FCF"/>
    <w:pPr>
      <w:spacing w:before="0" w:after="240"/>
      <w:ind w:left="720"/>
      <w:jc w:val="left"/>
    </w:pPr>
    <w:rPr>
      <w:rFonts w:ascii="Arial" w:eastAsia="Times New Roman" w:hAnsi="Arial"/>
      <w:sz w:val="22"/>
      <w:szCs w:val="20"/>
      <w:lang w:eastAsia="en-GB"/>
    </w:rPr>
  </w:style>
  <w:style w:type="paragraph" w:styleId="List">
    <w:name w:val="List"/>
    <w:autoRedefine/>
    <w:uiPriority w:val="99"/>
    <w:semiHidden/>
    <w:qFormat/>
    <w:rsid w:val="00E07FCF"/>
    <w:pPr>
      <w:numPr>
        <w:numId w:val="1"/>
      </w:numPr>
      <w:spacing w:before="240" w:after="120" w:line="240" w:lineRule="auto"/>
      <w:contextualSpacing/>
    </w:pPr>
    <w:rPr>
      <w:rFonts w:eastAsiaTheme="minorEastAsia"/>
      <w:szCs w:val="24"/>
    </w:rPr>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basedOn w:val="DefaultParagraphFont"/>
    <w:link w:val="ListParagraph"/>
    <w:uiPriority w:val="34"/>
    <w:qFormat/>
    <w:locked/>
    <w:rsid w:val="00E07FCF"/>
    <w:rPr>
      <w:rFonts w:ascii="Arial" w:eastAsia="Times New Roman" w:hAnsi="Arial" w:cs="Times New Roman"/>
      <w:szCs w:val="20"/>
      <w:lang w:val="en-GB" w:eastAsia="en-GB"/>
    </w:rPr>
  </w:style>
  <w:style w:type="table" w:customStyle="1" w:styleId="TableGrid2">
    <w:name w:val="Table Grid2"/>
    <w:basedOn w:val="TableNormal"/>
    <w:uiPriority w:val="39"/>
    <w:rsid w:val="001D300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62B6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562B66"/>
    <w:pPr>
      <w:spacing w:after="0"/>
    </w:pPr>
  </w:style>
  <w:style w:type="paragraph" w:styleId="ListBullet">
    <w:name w:val="List Bullet"/>
    <w:basedOn w:val="Normal"/>
    <w:uiPriority w:val="99"/>
    <w:semiHidden/>
    <w:unhideWhenUsed/>
    <w:rsid w:val="00562B66"/>
    <w:pPr>
      <w:numPr>
        <w:numId w:val="6"/>
      </w:numPr>
      <w:contextualSpacing/>
    </w:pPr>
  </w:style>
  <w:style w:type="paragraph" w:styleId="ListBullet2">
    <w:name w:val="List Bullet 2"/>
    <w:basedOn w:val="Normal"/>
    <w:uiPriority w:val="99"/>
    <w:semiHidden/>
    <w:unhideWhenUsed/>
    <w:rsid w:val="00562B66"/>
    <w:pPr>
      <w:numPr>
        <w:numId w:val="7"/>
      </w:numPr>
      <w:contextualSpacing/>
    </w:pPr>
  </w:style>
  <w:style w:type="paragraph" w:styleId="ListBullet3">
    <w:name w:val="List Bullet 3"/>
    <w:basedOn w:val="Normal"/>
    <w:uiPriority w:val="99"/>
    <w:semiHidden/>
    <w:unhideWhenUsed/>
    <w:rsid w:val="00562B66"/>
    <w:pPr>
      <w:numPr>
        <w:numId w:val="8"/>
      </w:numPr>
      <w:contextualSpacing/>
    </w:pPr>
  </w:style>
  <w:style w:type="paragraph" w:styleId="ListBullet4">
    <w:name w:val="List Bullet 4"/>
    <w:basedOn w:val="Normal"/>
    <w:uiPriority w:val="99"/>
    <w:semiHidden/>
    <w:unhideWhenUsed/>
    <w:rsid w:val="00562B66"/>
    <w:pPr>
      <w:numPr>
        <w:numId w:val="9"/>
      </w:numPr>
      <w:contextualSpacing/>
    </w:pPr>
  </w:style>
  <w:style w:type="paragraph" w:styleId="ListNumber">
    <w:name w:val="List Number"/>
    <w:basedOn w:val="Normal"/>
    <w:uiPriority w:val="99"/>
    <w:semiHidden/>
    <w:unhideWhenUsed/>
    <w:rsid w:val="00562B66"/>
    <w:pPr>
      <w:numPr>
        <w:numId w:val="10"/>
      </w:numPr>
      <w:contextualSpacing/>
    </w:pPr>
  </w:style>
  <w:style w:type="paragraph" w:styleId="ListNumber2">
    <w:name w:val="List Number 2"/>
    <w:basedOn w:val="Normal"/>
    <w:uiPriority w:val="99"/>
    <w:semiHidden/>
    <w:unhideWhenUsed/>
    <w:rsid w:val="00562B66"/>
    <w:pPr>
      <w:numPr>
        <w:numId w:val="11"/>
      </w:numPr>
      <w:contextualSpacing/>
    </w:pPr>
  </w:style>
  <w:style w:type="paragraph" w:styleId="ListNumber3">
    <w:name w:val="List Number 3"/>
    <w:basedOn w:val="Normal"/>
    <w:uiPriority w:val="99"/>
    <w:semiHidden/>
    <w:unhideWhenUsed/>
    <w:rsid w:val="00562B66"/>
    <w:pPr>
      <w:numPr>
        <w:numId w:val="12"/>
      </w:numPr>
      <w:contextualSpacing/>
    </w:pPr>
  </w:style>
  <w:style w:type="paragraph" w:styleId="ListNumber4">
    <w:name w:val="List Number 4"/>
    <w:basedOn w:val="Normal"/>
    <w:uiPriority w:val="99"/>
    <w:semiHidden/>
    <w:unhideWhenUsed/>
    <w:rsid w:val="00562B66"/>
    <w:pPr>
      <w:numPr>
        <w:numId w:val="13"/>
      </w:numPr>
      <w:contextualSpacing/>
    </w:pPr>
  </w:style>
  <w:style w:type="character" w:styleId="CommentReference">
    <w:name w:val="annotation reference"/>
    <w:basedOn w:val="DefaultParagraphFont"/>
    <w:uiPriority w:val="99"/>
    <w:semiHidden/>
    <w:unhideWhenUsed/>
    <w:rsid w:val="00F95D41"/>
    <w:rPr>
      <w:sz w:val="16"/>
      <w:szCs w:val="16"/>
    </w:rPr>
  </w:style>
  <w:style w:type="paragraph" w:styleId="CommentText">
    <w:name w:val="annotation text"/>
    <w:basedOn w:val="Normal"/>
    <w:link w:val="CommentTextChar"/>
    <w:uiPriority w:val="99"/>
    <w:unhideWhenUsed/>
    <w:rsid w:val="00F95D41"/>
    <w:rPr>
      <w:sz w:val="20"/>
      <w:szCs w:val="20"/>
    </w:rPr>
  </w:style>
  <w:style w:type="character" w:customStyle="1" w:styleId="CommentTextChar">
    <w:name w:val="Comment Text Char"/>
    <w:basedOn w:val="DefaultParagraphFont"/>
    <w:link w:val="CommentText"/>
    <w:uiPriority w:val="99"/>
    <w:rsid w:val="00F95D41"/>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95D41"/>
    <w:rPr>
      <w:b/>
      <w:bCs/>
    </w:rPr>
  </w:style>
  <w:style w:type="character" w:customStyle="1" w:styleId="CommentSubjectChar">
    <w:name w:val="Comment Subject Char"/>
    <w:basedOn w:val="CommentTextChar"/>
    <w:link w:val="CommentSubject"/>
    <w:uiPriority w:val="99"/>
    <w:semiHidden/>
    <w:rsid w:val="00F95D41"/>
    <w:rPr>
      <w:rFonts w:ascii="Times New Roman" w:hAnsi="Times New Roman" w:cs="Times New Roman"/>
      <w:b/>
      <w:bCs/>
      <w:sz w:val="20"/>
      <w:szCs w:val="20"/>
      <w:lang w:val="en-GB"/>
    </w:rPr>
  </w:style>
  <w:style w:type="character" w:styleId="Hyperlink">
    <w:name w:val="Hyperlink"/>
    <w:basedOn w:val="DefaultParagraphFont"/>
    <w:uiPriority w:val="99"/>
    <w:unhideWhenUsed/>
    <w:rsid w:val="00F95D41"/>
    <w:rPr>
      <w:color w:val="0000FF" w:themeColor="hyperlink"/>
      <w:u w:val="single"/>
    </w:rPr>
  </w:style>
  <w:style w:type="paragraph" w:styleId="BalloonText">
    <w:name w:val="Balloon Text"/>
    <w:basedOn w:val="Normal"/>
    <w:link w:val="BalloonTextChar"/>
    <w:uiPriority w:val="99"/>
    <w:semiHidden/>
    <w:unhideWhenUsed/>
    <w:rsid w:val="00F95D4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D41"/>
    <w:rPr>
      <w:rFonts w:ascii="Segoe UI" w:hAnsi="Segoe UI" w:cs="Segoe UI"/>
      <w:sz w:val="18"/>
      <w:szCs w:val="18"/>
      <w:lang w:val="en-GB"/>
    </w:rPr>
  </w:style>
  <w:style w:type="paragraph" w:styleId="Revision">
    <w:name w:val="Revision"/>
    <w:hidden/>
    <w:uiPriority w:val="99"/>
    <w:semiHidden/>
    <w:rsid w:val="00E128FB"/>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sid w:val="00211E78"/>
    <w:rPr>
      <w:color w:val="800080" w:themeColor="followedHyperlink"/>
      <w:u w:val="single"/>
    </w:rPr>
  </w:style>
  <w:style w:type="character" w:styleId="Emphasis">
    <w:name w:val="Emphasis"/>
    <w:basedOn w:val="DefaultParagraphFont"/>
    <w:uiPriority w:val="20"/>
    <w:qFormat/>
    <w:rsid w:val="00F87B58"/>
    <w:rPr>
      <w:i/>
      <w:iCs/>
    </w:rPr>
  </w:style>
  <w:style w:type="paragraph" w:styleId="NormalWeb">
    <w:name w:val="Normal (Web)"/>
    <w:basedOn w:val="Normal"/>
    <w:uiPriority w:val="99"/>
    <w:unhideWhenUsed/>
    <w:rsid w:val="00D43741"/>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rsid w:val="00E32439"/>
    <w:pPr>
      <w:tabs>
        <w:tab w:val="center" w:pos="4535"/>
        <w:tab w:val="right" w:pos="9071"/>
      </w:tabs>
      <w:spacing w:before="0"/>
    </w:pPr>
  </w:style>
  <w:style w:type="character" w:customStyle="1" w:styleId="HeaderChar">
    <w:name w:val="Header Char"/>
    <w:basedOn w:val="DefaultParagraphFont"/>
    <w:link w:val="Header"/>
    <w:uiPriority w:val="99"/>
    <w:rsid w:val="00E32439"/>
    <w:rPr>
      <w:rFonts w:ascii="Times New Roman" w:hAnsi="Times New Roman" w:cs="Times New Roman"/>
      <w:sz w:val="24"/>
      <w:lang w:val="en-GB"/>
    </w:rPr>
  </w:style>
  <w:style w:type="paragraph" w:styleId="Footer">
    <w:name w:val="footer"/>
    <w:basedOn w:val="Normal"/>
    <w:link w:val="FooterChar"/>
    <w:uiPriority w:val="99"/>
    <w:unhideWhenUsed/>
    <w:rsid w:val="00E3243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32439"/>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E32439"/>
    <w:pPr>
      <w:tabs>
        <w:tab w:val="center" w:pos="7285"/>
        <w:tab w:val="right" w:pos="14003"/>
      </w:tabs>
      <w:spacing w:before="0"/>
    </w:pPr>
  </w:style>
  <w:style w:type="paragraph" w:customStyle="1" w:styleId="FooterLandscape">
    <w:name w:val="FooterLandscape"/>
    <w:basedOn w:val="Normal"/>
    <w:rsid w:val="00E3243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E3243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32439"/>
    <w:pPr>
      <w:spacing w:before="0"/>
      <w:jc w:val="right"/>
    </w:pPr>
    <w:rPr>
      <w:sz w:val="28"/>
    </w:rPr>
  </w:style>
  <w:style w:type="paragraph" w:customStyle="1" w:styleId="FooterSensitivity">
    <w:name w:val="Footer Sensitivity"/>
    <w:basedOn w:val="Normal"/>
    <w:rsid w:val="00E3243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31"/>
      </w:numPr>
    </w:pPr>
  </w:style>
  <w:style w:type="paragraph" w:customStyle="1" w:styleId="Tiret1">
    <w:name w:val="Tiret 1"/>
    <w:basedOn w:val="Point1"/>
    <w:rsid w:val="005365AB"/>
    <w:pPr>
      <w:numPr>
        <w:numId w:val="32"/>
      </w:numPr>
    </w:pPr>
  </w:style>
  <w:style w:type="paragraph" w:customStyle="1" w:styleId="Tiret2">
    <w:name w:val="Tiret 2"/>
    <w:basedOn w:val="Point2"/>
    <w:rsid w:val="005365AB"/>
    <w:pPr>
      <w:numPr>
        <w:numId w:val="33"/>
      </w:numPr>
    </w:pPr>
  </w:style>
  <w:style w:type="paragraph" w:customStyle="1" w:styleId="Tiret3">
    <w:name w:val="Tiret 3"/>
    <w:basedOn w:val="Point3"/>
    <w:rsid w:val="005365AB"/>
    <w:pPr>
      <w:numPr>
        <w:numId w:val="34"/>
      </w:numPr>
    </w:pPr>
  </w:style>
  <w:style w:type="paragraph" w:customStyle="1" w:styleId="Tiret4">
    <w:name w:val="Tiret 4"/>
    <w:basedOn w:val="Point4"/>
    <w:rsid w:val="005365AB"/>
    <w:pPr>
      <w:numPr>
        <w:numId w:val="35"/>
      </w:numPr>
    </w:pPr>
  </w:style>
  <w:style w:type="paragraph" w:customStyle="1" w:styleId="Tiret5">
    <w:name w:val="Tiret 5"/>
    <w:basedOn w:val="Point5"/>
    <w:rsid w:val="005365AB"/>
    <w:pPr>
      <w:numPr>
        <w:numId w:val="36"/>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37"/>
      </w:numPr>
    </w:pPr>
  </w:style>
  <w:style w:type="paragraph" w:customStyle="1" w:styleId="NumPar2">
    <w:name w:val="NumPar 2"/>
    <w:basedOn w:val="Normal"/>
    <w:next w:val="Text1"/>
    <w:rsid w:val="005365AB"/>
    <w:pPr>
      <w:numPr>
        <w:ilvl w:val="1"/>
        <w:numId w:val="37"/>
      </w:numPr>
    </w:pPr>
  </w:style>
  <w:style w:type="paragraph" w:customStyle="1" w:styleId="NumPar3">
    <w:name w:val="NumPar 3"/>
    <w:basedOn w:val="Normal"/>
    <w:next w:val="Text1"/>
    <w:rsid w:val="005365AB"/>
    <w:pPr>
      <w:numPr>
        <w:ilvl w:val="2"/>
        <w:numId w:val="37"/>
      </w:numPr>
    </w:pPr>
  </w:style>
  <w:style w:type="paragraph" w:customStyle="1" w:styleId="NumPar4">
    <w:name w:val="NumPar 4"/>
    <w:basedOn w:val="Normal"/>
    <w:next w:val="Text1"/>
    <w:rsid w:val="005365AB"/>
    <w:pPr>
      <w:numPr>
        <w:ilvl w:val="3"/>
        <w:numId w:val="37"/>
      </w:numPr>
    </w:pPr>
  </w:style>
  <w:style w:type="paragraph" w:customStyle="1" w:styleId="NumPar5">
    <w:name w:val="NumPar 5"/>
    <w:basedOn w:val="Normal"/>
    <w:next w:val="Text2"/>
    <w:rsid w:val="005365AB"/>
    <w:pPr>
      <w:numPr>
        <w:ilvl w:val="4"/>
        <w:numId w:val="37"/>
      </w:numPr>
    </w:pPr>
  </w:style>
  <w:style w:type="paragraph" w:customStyle="1" w:styleId="NumPar6">
    <w:name w:val="NumPar 6"/>
    <w:basedOn w:val="Normal"/>
    <w:next w:val="Text2"/>
    <w:rsid w:val="005365AB"/>
    <w:pPr>
      <w:numPr>
        <w:ilvl w:val="5"/>
        <w:numId w:val="37"/>
      </w:numPr>
    </w:pPr>
  </w:style>
  <w:style w:type="paragraph" w:customStyle="1" w:styleId="NumPar7">
    <w:name w:val="NumPar 7"/>
    <w:basedOn w:val="Normal"/>
    <w:next w:val="Text2"/>
    <w:rsid w:val="005365AB"/>
    <w:pPr>
      <w:numPr>
        <w:ilvl w:val="6"/>
        <w:numId w:val="37"/>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39"/>
      </w:numPr>
    </w:pPr>
  </w:style>
  <w:style w:type="paragraph" w:customStyle="1" w:styleId="Point1number">
    <w:name w:val="Point 1 (number)"/>
    <w:basedOn w:val="Normal"/>
    <w:rsid w:val="005365AB"/>
    <w:pPr>
      <w:numPr>
        <w:ilvl w:val="2"/>
        <w:numId w:val="39"/>
      </w:numPr>
    </w:pPr>
  </w:style>
  <w:style w:type="paragraph" w:customStyle="1" w:styleId="Point2number">
    <w:name w:val="Point 2 (number)"/>
    <w:basedOn w:val="Normal"/>
    <w:rsid w:val="005365AB"/>
    <w:pPr>
      <w:numPr>
        <w:ilvl w:val="4"/>
        <w:numId w:val="39"/>
      </w:numPr>
    </w:pPr>
  </w:style>
  <w:style w:type="paragraph" w:customStyle="1" w:styleId="Point3number">
    <w:name w:val="Point 3 (number)"/>
    <w:basedOn w:val="Normal"/>
    <w:rsid w:val="005365AB"/>
    <w:pPr>
      <w:numPr>
        <w:ilvl w:val="6"/>
        <w:numId w:val="39"/>
      </w:numPr>
    </w:pPr>
  </w:style>
  <w:style w:type="paragraph" w:customStyle="1" w:styleId="Point0letter">
    <w:name w:val="Point 0 (letter)"/>
    <w:basedOn w:val="Normal"/>
    <w:rsid w:val="005365AB"/>
    <w:pPr>
      <w:numPr>
        <w:ilvl w:val="1"/>
        <w:numId w:val="39"/>
      </w:numPr>
    </w:pPr>
  </w:style>
  <w:style w:type="paragraph" w:customStyle="1" w:styleId="Point1letter">
    <w:name w:val="Point 1 (letter)"/>
    <w:basedOn w:val="Normal"/>
    <w:rsid w:val="005365AB"/>
    <w:pPr>
      <w:numPr>
        <w:ilvl w:val="3"/>
        <w:numId w:val="39"/>
      </w:numPr>
    </w:pPr>
  </w:style>
  <w:style w:type="paragraph" w:customStyle="1" w:styleId="Point2letter">
    <w:name w:val="Point 2 (letter)"/>
    <w:basedOn w:val="Normal"/>
    <w:rsid w:val="005365AB"/>
    <w:pPr>
      <w:numPr>
        <w:ilvl w:val="5"/>
        <w:numId w:val="39"/>
      </w:numPr>
    </w:pPr>
  </w:style>
  <w:style w:type="paragraph" w:customStyle="1" w:styleId="Point3letter">
    <w:name w:val="Point 3 (letter)"/>
    <w:basedOn w:val="Normal"/>
    <w:rsid w:val="005365AB"/>
    <w:pPr>
      <w:numPr>
        <w:ilvl w:val="7"/>
        <w:numId w:val="39"/>
      </w:numPr>
    </w:pPr>
  </w:style>
  <w:style w:type="paragraph" w:customStyle="1" w:styleId="Point4letter">
    <w:name w:val="Point 4 (letter)"/>
    <w:basedOn w:val="Normal"/>
    <w:rsid w:val="005365AB"/>
    <w:pPr>
      <w:numPr>
        <w:ilvl w:val="8"/>
        <w:numId w:val="39"/>
      </w:numPr>
    </w:pPr>
  </w:style>
  <w:style w:type="paragraph" w:customStyle="1" w:styleId="Bullet0">
    <w:name w:val="Bullet 0"/>
    <w:basedOn w:val="Normal"/>
    <w:rsid w:val="005365AB"/>
    <w:pPr>
      <w:numPr>
        <w:numId w:val="40"/>
      </w:numPr>
    </w:pPr>
  </w:style>
  <w:style w:type="paragraph" w:customStyle="1" w:styleId="Bullet1">
    <w:name w:val="Bullet 1"/>
    <w:basedOn w:val="Normal"/>
    <w:rsid w:val="005365AB"/>
    <w:pPr>
      <w:numPr>
        <w:numId w:val="41"/>
      </w:numPr>
    </w:pPr>
  </w:style>
  <w:style w:type="paragraph" w:customStyle="1" w:styleId="Bullet2">
    <w:name w:val="Bullet 2"/>
    <w:basedOn w:val="Normal"/>
    <w:rsid w:val="005365AB"/>
    <w:pPr>
      <w:numPr>
        <w:numId w:val="42"/>
      </w:numPr>
    </w:pPr>
  </w:style>
  <w:style w:type="paragraph" w:customStyle="1" w:styleId="Bullet3">
    <w:name w:val="Bullet 3"/>
    <w:basedOn w:val="Normal"/>
    <w:rsid w:val="005365AB"/>
    <w:pPr>
      <w:numPr>
        <w:numId w:val="43"/>
      </w:numPr>
    </w:pPr>
  </w:style>
  <w:style w:type="paragraph" w:customStyle="1" w:styleId="Bullet4">
    <w:name w:val="Bullet 4"/>
    <w:basedOn w:val="Normal"/>
    <w:rsid w:val="005365AB"/>
    <w:pPr>
      <w:numPr>
        <w:numId w:val="44"/>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45"/>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 w:type="character" w:styleId="Mention">
    <w:name w:val="Mention"/>
    <w:basedOn w:val="DefaultParagraphFont"/>
    <w:uiPriority w:val="99"/>
    <w:unhideWhenUsed/>
    <w:rsid w:val="00112E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7794b7-6dd1-4d7a-b505-de5c13592da2" xsi:nil="true"/>
    <lcf76f155ced4ddcb4097134ff3c332f xmlns="8b68916b-ba62-42ff-ad1c-99615e6090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70DD80D5E0F64FAD0A7BD0CEB85DC8" ma:contentTypeVersion="15" ma:contentTypeDescription="Create a new document." ma:contentTypeScope="" ma:versionID="112f84d7ab31b819ab29fa76c08e68aa">
  <xsd:schema xmlns:xsd="http://www.w3.org/2001/XMLSchema" xmlns:xs="http://www.w3.org/2001/XMLSchema" xmlns:p="http://schemas.microsoft.com/office/2006/metadata/properties" xmlns:ns2="8b68916b-ba62-42ff-ad1c-99615e60905d" xmlns:ns3="777794b7-6dd1-4d7a-b505-de5c13592da2" targetNamespace="http://schemas.microsoft.com/office/2006/metadata/properties" ma:root="true" ma:fieldsID="4d9b6b8a40036677f9c8fa11fdb0b05e" ns2:_="" ns3:_="">
    <xsd:import namespace="8b68916b-ba62-42ff-ad1c-99615e60905d"/>
    <xsd:import namespace="777794b7-6dd1-4d7a-b505-de5c13592d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8916b-ba62-42ff-ad1c-99615e609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1b0281-dc95-4057-966b-7df2505abc1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794b7-6dd1-4d7a-b505-de5c13592da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001b6b-9957-498f-b45e-772e16309100}" ma:internalName="TaxCatchAll" ma:showField="CatchAllData" ma:web="777794b7-6dd1-4d7a-b505-de5c13592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66893-7725-481C-8D76-D747C1C16193}">
  <ds:schemaRefs>
    <ds:schemaRef ds:uri="http://schemas.microsoft.com/office/2006/documentManagement/types"/>
    <ds:schemaRef ds:uri="777794b7-6dd1-4d7a-b505-de5c13592da2"/>
    <ds:schemaRef ds:uri="http://purl.org/dc/terms/"/>
    <ds:schemaRef ds:uri="http://schemas.openxmlformats.org/package/2006/metadata/core-properties"/>
    <ds:schemaRef ds:uri="http://schemas.microsoft.com/office/infopath/2007/PartnerControls"/>
    <ds:schemaRef ds:uri="http://purl.org/dc/elements/1.1/"/>
    <ds:schemaRef ds:uri="8b68916b-ba62-42ff-ad1c-99615e60905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A476CF9-1403-4A51-9227-7956509B61B1}">
  <ds:schemaRefs>
    <ds:schemaRef ds:uri="http://schemas.microsoft.com/sharepoint/v3/contenttype/forms"/>
  </ds:schemaRefs>
</ds:datastoreItem>
</file>

<file path=customXml/itemProps3.xml><?xml version="1.0" encoding="utf-8"?>
<ds:datastoreItem xmlns:ds="http://schemas.openxmlformats.org/officeDocument/2006/customXml" ds:itemID="{099EE0B6-A33F-4D02-AD07-214363B41D0C}">
  <ds:schemaRefs>
    <ds:schemaRef ds:uri="http://schemas.openxmlformats.org/officeDocument/2006/bibliography"/>
  </ds:schemaRefs>
</ds:datastoreItem>
</file>

<file path=customXml/itemProps4.xml><?xml version="1.0" encoding="utf-8"?>
<ds:datastoreItem xmlns:ds="http://schemas.openxmlformats.org/officeDocument/2006/customXml" ds:itemID="{0262E7A5-CB9B-47D3-AF3E-F6C627687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8916b-ba62-42ff-ad1c-99615e60905d"/>
    <ds:schemaRef ds:uri="777794b7-6dd1-4d7a-b505-de5c13592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Template>
  <TotalTime>28</TotalTime>
  <Pages>8</Pages>
  <Words>1848</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KALIMERI Vasiliki (JUST)</dc:creator>
  <cp:lastModifiedBy>Jana Karimova</cp:lastModifiedBy>
  <cp:revision>40</cp:revision>
  <dcterms:created xsi:type="dcterms:W3CDTF">2025-06-18T11:06:00Z</dcterms:created>
  <dcterms:modified xsi:type="dcterms:W3CDTF">2025-06-25T07:38:00Z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ontentTypeId">
    <vt:lpwstr>0x010100AA70DD80D5E0F64FAD0A7BD0CEB85DC8</vt:lpwstr>
  </property>
  <property fmtid="{D5CDD505-2E9C-101B-9397-08002B2CF9AE}" pid="4" name="Created using">
    <vt:lpwstr>LW 7.0, Build 20190717</vt:lpwstr>
  </property>
  <property fmtid="{D5CDD505-2E9C-101B-9397-08002B2CF9AE}" pid="5" name="DQCStatus">
    <vt:lpwstr>Yellow (DQC version 03)</vt:lpwstr>
  </property>
  <property fmtid="{D5CDD505-2E9C-101B-9397-08002B2CF9AE}" pid="6" name="ERIS_Department">
    <vt:lpwstr>1;#Consumer Protection Department|9bcd514f-40c4-4edd-acb3-61da1325c6eb</vt:lpwstr>
  </property>
  <property fmtid="{D5CDD505-2E9C-101B-9397-08002B2CF9AE}" pid="7" name="ERIS_DocumentType">
    <vt:lpwstr>63;#Agreement/Contract|35b770eb-3765-427a-8694-fcd183021460</vt:lpwstr>
  </property>
  <property fmtid="{D5CDD505-2E9C-101B-9397-08002B2CF9AE}" pid="8" name="ERIS_Keywords">
    <vt:lpwstr>3;#Consumer Protection|3ca06cc2-4254-4d7f-adce-f0199e390ade;#28;#Conduct of Business Policy|2ddc7f38-0b57-495c-86ff-cc07b70cc972;#37;#Sustainable Finance|6208a64e-e24c-42c5-809d-e81dc10bc187</vt:lpwstr>
  </property>
  <property fmtid="{D5CDD505-2E9C-101B-9397-08002B2CF9AE}" pid="9" name="ERIS_Language">
    <vt:lpwstr>2;#English|2741a941-2920-4ba4-aa70-d8ed6ac1785d</vt:lpwstr>
  </property>
  <property fmtid="{D5CDD505-2E9C-101B-9397-08002B2CF9AE}" pid="10" name="First annex">
    <vt:lpwstr>1</vt:lpwstr>
  </property>
  <property fmtid="{D5CDD505-2E9C-101B-9397-08002B2CF9AE}" pid="11" name="Last annex">
    <vt:lpwstr>1</vt:lpwstr>
  </property>
  <property fmtid="{D5CDD505-2E9C-101B-9397-08002B2CF9AE}" pid="12" name="Last edited using">
    <vt:lpwstr>LW 8.0, Build 20220128</vt:lpwstr>
  </property>
  <property fmtid="{D5CDD505-2E9C-101B-9397-08002B2CF9AE}" pid="13" name="Level of sensitivity">
    <vt:lpwstr>Standard treatment</vt:lpwstr>
  </property>
  <property fmtid="{D5CDD505-2E9C-101B-9397-08002B2CF9AE}" pid="14" name="LWTemplateID">
    <vt:lpwstr>SG-068</vt:lpwstr>
  </property>
  <property fmtid="{D5CDD505-2E9C-101B-9397-08002B2CF9AE}" pid="15" name="MDU">
    <vt:lpwstr/>
  </property>
  <property fmtid="{D5CDD505-2E9C-101B-9397-08002B2CF9AE}" pid="16" name="MediaServiceImageTags">
    <vt:lpwstr/>
  </property>
  <property fmtid="{D5CDD505-2E9C-101B-9397-08002B2CF9AE}" pid="17" name="Part">
    <vt:lpwstr>1</vt:lpwstr>
  </property>
  <property fmtid="{D5CDD505-2E9C-101B-9397-08002B2CF9AE}" pid="18" name="RecordPoint_ActiveItemListId">
    <vt:lpwstr>{c561ac84-024a-464e-9d95-8d8e6b3ee059}</vt:lpwstr>
  </property>
  <property fmtid="{D5CDD505-2E9C-101B-9397-08002B2CF9AE}" pid="19" name="RecordPoint_ActiveItemSiteId">
    <vt:lpwstr>{8f03a93c-3231-44a2-994d-c866c58a25d1}</vt:lpwstr>
  </property>
  <property fmtid="{D5CDD505-2E9C-101B-9397-08002B2CF9AE}" pid="20" name="RecordPoint_ActiveItemUniqueId">
    <vt:lpwstr>{094cffab-b958-4979-94b6-69a3f102ee80}</vt:lpwstr>
  </property>
  <property fmtid="{D5CDD505-2E9C-101B-9397-08002B2CF9AE}" pid="21" name="RecordPoint_ActiveItemWebId">
    <vt:lpwstr>{a7be27cd-125f-466c-816c-c3bde3a15869}</vt:lpwstr>
  </property>
  <property fmtid="{D5CDD505-2E9C-101B-9397-08002B2CF9AE}" pid="22" name="RecordPoint_RecordNumberSubmitted">
    <vt:lpwstr>EIOPA(2022)0033071</vt:lpwstr>
  </property>
  <property fmtid="{D5CDD505-2E9C-101B-9397-08002B2CF9AE}" pid="23" name="RecordPoint_SubmissionCompleted">
    <vt:lpwstr>2022-07-25T09:54:17.6611472+00:00</vt:lpwstr>
  </property>
  <property fmtid="{D5CDD505-2E9C-101B-9397-08002B2CF9AE}" pid="24" name="RecordPoint_WorkflowType">
    <vt:lpwstr>ActiveSubmitStub</vt:lpwstr>
  </property>
  <property fmtid="{D5CDD505-2E9C-101B-9397-08002B2CF9AE}" pid="25" name="Total parts">
    <vt:lpwstr>1</vt:lpwstr>
  </property>
  <property fmtid="{D5CDD505-2E9C-101B-9397-08002B2CF9AE}" pid="26" name="Unique annex">
    <vt:lpwstr>0</vt:lpwstr>
  </property>
  <property fmtid="{D5CDD505-2E9C-101B-9397-08002B2CF9AE}" pid="27" name="Version">
    <vt:lpwstr>7.0.8.0</vt:lpwstr>
  </property>
</Properties>
</file>